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14670" w14:textId="37967ED3" w:rsidR="006A2F73" w:rsidRPr="0097520B" w:rsidRDefault="0097520B" w:rsidP="00BC1378">
      <w:pPr>
        <w:pStyle w:val="Nagwek1"/>
        <w:spacing w:line="276" w:lineRule="auto"/>
        <w:ind w:left="0"/>
        <w:rPr>
          <w:rFonts w:asciiTheme="minorHAnsi" w:hAnsiTheme="minorHAnsi" w:cstheme="minorHAnsi"/>
          <w:b w:val="0"/>
          <w:bCs w:val="0"/>
        </w:rPr>
      </w:pPr>
      <w:r>
        <w:rPr>
          <w:rFonts w:asciiTheme="minorHAnsi" w:hAnsiTheme="minorHAnsi" w:cstheme="minorHAnsi"/>
          <w:b w:val="0"/>
          <w:bCs w:val="0"/>
        </w:rPr>
        <w:t>13</w:t>
      </w:r>
      <w:r w:rsidR="00017379" w:rsidRPr="0097520B">
        <w:rPr>
          <w:rFonts w:asciiTheme="minorHAnsi" w:hAnsiTheme="minorHAnsi" w:cstheme="minorHAnsi"/>
          <w:b w:val="0"/>
          <w:bCs w:val="0"/>
        </w:rPr>
        <w:t>.0</w:t>
      </w:r>
      <w:r>
        <w:rPr>
          <w:rFonts w:asciiTheme="minorHAnsi" w:hAnsiTheme="minorHAnsi" w:cstheme="minorHAnsi"/>
          <w:b w:val="0"/>
          <w:bCs w:val="0"/>
        </w:rPr>
        <w:t>1</w:t>
      </w:r>
      <w:r w:rsidR="00881459" w:rsidRPr="0097520B">
        <w:rPr>
          <w:rFonts w:asciiTheme="minorHAnsi" w:hAnsiTheme="minorHAnsi" w:cstheme="minorHAnsi"/>
          <w:b w:val="0"/>
          <w:bCs w:val="0"/>
        </w:rPr>
        <w:t>.20</w:t>
      </w:r>
      <w:r>
        <w:rPr>
          <w:rFonts w:asciiTheme="minorHAnsi" w:hAnsiTheme="minorHAnsi" w:cstheme="minorHAnsi"/>
          <w:b w:val="0"/>
          <w:bCs w:val="0"/>
        </w:rPr>
        <w:t>20</w:t>
      </w:r>
    </w:p>
    <w:p w14:paraId="3087E106" w14:textId="77777777" w:rsidR="006A2F73" w:rsidRPr="0097520B" w:rsidRDefault="006A2F73" w:rsidP="00BC1378">
      <w:pPr>
        <w:pStyle w:val="Nagwek1"/>
        <w:spacing w:line="276" w:lineRule="auto"/>
        <w:ind w:left="0"/>
        <w:rPr>
          <w:rFonts w:asciiTheme="minorHAnsi" w:hAnsiTheme="minorHAnsi" w:cstheme="minorHAnsi"/>
          <w:b w:val="0"/>
          <w:bCs w:val="0"/>
        </w:rPr>
      </w:pPr>
      <w:r w:rsidRPr="0097520B">
        <w:rPr>
          <w:rFonts w:asciiTheme="minorHAnsi" w:hAnsiTheme="minorHAnsi" w:cstheme="minorHAnsi"/>
          <w:b w:val="0"/>
          <w:bCs w:val="0"/>
        </w:rPr>
        <w:t xml:space="preserve">Informacja prasowa portalu </w:t>
      </w:r>
    </w:p>
    <w:p w14:paraId="67D06EB5" w14:textId="77777777" w:rsidR="006A2F73" w:rsidRPr="0097520B" w:rsidRDefault="00884F06" w:rsidP="00BC1378">
      <w:pPr>
        <w:spacing w:line="276" w:lineRule="auto"/>
        <w:rPr>
          <w:rFonts w:asciiTheme="minorHAnsi" w:hAnsiTheme="minorHAnsi" w:cstheme="minorHAnsi"/>
        </w:rPr>
      </w:pPr>
      <w:r w:rsidRPr="0097520B">
        <w:rPr>
          <w:rFonts w:asciiTheme="minorHAnsi" w:hAnsiTheme="minorHAnsi" w:cstheme="minorHAnsi"/>
          <w:noProof/>
          <w:lang w:eastAsia="pl-PL"/>
        </w:rPr>
        <w:drawing>
          <wp:inline distT="0" distB="0" distL="0" distR="0" wp14:anchorId="0E0A7CCB" wp14:editId="436240E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14:paraId="4233F331" w14:textId="77777777" w:rsidR="006D03DA" w:rsidRPr="0097520B" w:rsidRDefault="006D03DA" w:rsidP="00BC1378">
      <w:pPr>
        <w:pStyle w:val="Tekstpodstawowy2"/>
        <w:tabs>
          <w:tab w:val="left" w:pos="7560"/>
        </w:tabs>
        <w:spacing w:line="276" w:lineRule="auto"/>
        <w:rPr>
          <w:rFonts w:asciiTheme="minorHAnsi" w:hAnsiTheme="minorHAnsi" w:cstheme="minorHAnsi"/>
          <w:b/>
          <w:bCs/>
          <w:sz w:val="24"/>
          <w:szCs w:val="24"/>
        </w:rPr>
      </w:pPr>
      <w:r w:rsidRPr="0097520B">
        <w:rPr>
          <w:rFonts w:asciiTheme="minorHAnsi" w:hAnsiTheme="minorHAnsi" w:cstheme="minorHAnsi"/>
          <w:b/>
          <w:bCs/>
          <w:sz w:val="24"/>
          <w:szCs w:val="24"/>
        </w:rPr>
        <w:t>Pytania i dodatkowe informacje:</w:t>
      </w:r>
    </w:p>
    <w:p w14:paraId="5E0565AE" w14:textId="77777777" w:rsidR="00FB796D" w:rsidRPr="0097520B" w:rsidRDefault="00FB796D" w:rsidP="00BC1378">
      <w:pPr>
        <w:pStyle w:val="Tekstpodstawowy2"/>
        <w:tabs>
          <w:tab w:val="left" w:pos="7560"/>
        </w:tabs>
        <w:spacing w:line="276" w:lineRule="auto"/>
        <w:rPr>
          <w:rFonts w:asciiTheme="minorHAnsi" w:hAnsiTheme="minorHAnsi" w:cstheme="minorHAnsi"/>
          <w:b/>
          <w:bCs/>
          <w:sz w:val="24"/>
          <w:szCs w:val="24"/>
        </w:rPr>
      </w:pPr>
      <w:r w:rsidRPr="0097520B">
        <w:rPr>
          <w:rFonts w:asciiTheme="minorHAnsi" w:hAnsiTheme="minorHAnsi" w:cstheme="minorHAnsi"/>
          <w:b/>
          <w:bCs/>
          <w:sz w:val="24"/>
          <w:szCs w:val="24"/>
        </w:rPr>
        <w:t>Konrad Akowacz</w:t>
      </w:r>
    </w:p>
    <w:p w14:paraId="101ABDF9" w14:textId="77777777" w:rsidR="006D03DA" w:rsidRPr="0097520B" w:rsidRDefault="006D03DA" w:rsidP="00BC1378">
      <w:pPr>
        <w:pStyle w:val="Tekstpodstawowy2"/>
        <w:tabs>
          <w:tab w:val="left" w:pos="7560"/>
        </w:tabs>
        <w:spacing w:line="276" w:lineRule="auto"/>
        <w:rPr>
          <w:rFonts w:asciiTheme="minorHAnsi" w:hAnsiTheme="minorHAnsi" w:cstheme="minorHAnsi"/>
          <w:sz w:val="24"/>
          <w:szCs w:val="24"/>
        </w:rPr>
      </w:pPr>
      <w:r w:rsidRPr="0097520B">
        <w:rPr>
          <w:rFonts w:asciiTheme="minorHAnsi" w:hAnsiTheme="minorHAnsi" w:cstheme="minorHAnsi"/>
          <w:sz w:val="24"/>
          <w:szCs w:val="24"/>
        </w:rPr>
        <w:t xml:space="preserve">tel. </w:t>
      </w:r>
      <w:r w:rsidR="00FB796D" w:rsidRPr="0097520B">
        <w:rPr>
          <w:rFonts w:asciiTheme="minorHAnsi" w:hAnsiTheme="minorHAnsi" w:cstheme="minorHAnsi"/>
          <w:sz w:val="24"/>
          <w:szCs w:val="24"/>
        </w:rPr>
        <w:t>511 057</w:t>
      </w:r>
      <w:r w:rsidR="00BE15EA" w:rsidRPr="0097520B">
        <w:rPr>
          <w:rFonts w:asciiTheme="minorHAnsi" w:hAnsiTheme="minorHAnsi" w:cstheme="minorHAnsi"/>
          <w:sz w:val="24"/>
          <w:szCs w:val="24"/>
        </w:rPr>
        <w:t> </w:t>
      </w:r>
      <w:r w:rsidR="00FB796D" w:rsidRPr="0097520B">
        <w:rPr>
          <w:rFonts w:asciiTheme="minorHAnsi" w:hAnsiTheme="minorHAnsi" w:cstheme="minorHAnsi"/>
          <w:sz w:val="24"/>
          <w:szCs w:val="24"/>
        </w:rPr>
        <w:t>700</w:t>
      </w:r>
    </w:p>
    <w:p w14:paraId="6CF6B34D" w14:textId="7865155E" w:rsidR="006D03DA" w:rsidRPr="0097520B" w:rsidRDefault="002758F1" w:rsidP="00BC1378">
      <w:pPr>
        <w:pStyle w:val="Tekstpodstawowy"/>
        <w:tabs>
          <w:tab w:val="left" w:pos="3686"/>
          <w:tab w:val="left" w:pos="7560"/>
        </w:tabs>
        <w:spacing w:line="276" w:lineRule="auto"/>
        <w:jc w:val="right"/>
        <w:rPr>
          <w:rFonts w:asciiTheme="minorHAnsi" w:hAnsiTheme="minorHAnsi" w:cstheme="minorHAnsi"/>
          <w:b w:val="0"/>
          <w:color w:val="000080"/>
          <w:szCs w:val="24"/>
        </w:rPr>
      </w:pPr>
      <w:hyperlink r:id="rId9" w:history="1">
        <w:r w:rsidR="0097520B" w:rsidRPr="005136F0">
          <w:rPr>
            <w:rStyle w:val="Hipercze"/>
            <w:rFonts w:asciiTheme="minorHAnsi" w:hAnsiTheme="minorHAnsi" w:cstheme="minorHAnsi"/>
            <w:b w:val="0"/>
            <w:szCs w:val="24"/>
          </w:rPr>
          <w:t>akowacz@sedlak.pl</w:t>
        </w:r>
      </w:hyperlink>
      <w:r w:rsidR="006D03DA" w:rsidRPr="0097520B">
        <w:rPr>
          <w:rFonts w:asciiTheme="minorHAnsi" w:hAnsiTheme="minorHAnsi" w:cstheme="minorHAnsi"/>
          <w:b w:val="0"/>
          <w:color w:val="000080"/>
          <w:szCs w:val="24"/>
        </w:rPr>
        <w:t xml:space="preserve"> </w:t>
      </w:r>
    </w:p>
    <w:p w14:paraId="4F497381" w14:textId="77777777" w:rsidR="00681531" w:rsidRPr="0097520B" w:rsidRDefault="00681531" w:rsidP="00BC1378">
      <w:pPr>
        <w:pStyle w:val="Tekstpodstawowy"/>
        <w:tabs>
          <w:tab w:val="left" w:pos="3686"/>
          <w:tab w:val="left" w:pos="7560"/>
        </w:tabs>
        <w:spacing w:line="276" w:lineRule="auto"/>
        <w:jc w:val="right"/>
        <w:rPr>
          <w:rFonts w:asciiTheme="minorHAnsi" w:hAnsiTheme="minorHAnsi" w:cstheme="minorHAnsi"/>
          <w:b w:val="0"/>
          <w:color w:val="000080"/>
          <w:szCs w:val="24"/>
        </w:rPr>
      </w:pPr>
    </w:p>
    <w:p w14:paraId="4FE0F04F" w14:textId="77777777" w:rsidR="00681531" w:rsidRPr="0097520B" w:rsidRDefault="00681531" w:rsidP="00BC1378">
      <w:pPr>
        <w:pStyle w:val="Tekstpodstawowy"/>
        <w:tabs>
          <w:tab w:val="left" w:pos="3686"/>
          <w:tab w:val="left" w:pos="7560"/>
        </w:tabs>
        <w:spacing w:line="276" w:lineRule="auto"/>
        <w:jc w:val="right"/>
        <w:rPr>
          <w:rFonts w:asciiTheme="minorHAnsi" w:hAnsiTheme="minorHAnsi" w:cstheme="minorHAnsi"/>
          <w:b w:val="0"/>
          <w:color w:val="000080"/>
          <w:szCs w:val="24"/>
        </w:rPr>
      </w:pPr>
    </w:p>
    <w:p w14:paraId="6FAB59A9" w14:textId="77777777" w:rsidR="00216A20" w:rsidRPr="0097520B" w:rsidRDefault="00216A20" w:rsidP="00216A20">
      <w:pPr>
        <w:jc w:val="center"/>
        <w:rPr>
          <w:rFonts w:asciiTheme="minorHAnsi" w:hAnsiTheme="minorHAnsi" w:cstheme="minorHAnsi"/>
          <w:caps/>
          <w:color w:val="1F497D" w:themeColor="text2"/>
          <w:sz w:val="40"/>
          <w:szCs w:val="40"/>
        </w:rPr>
      </w:pPr>
      <w:r w:rsidRPr="0097520B">
        <w:rPr>
          <w:rFonts w:asciiTheme="minorHAnsi" w:hAnsiTheme="minorHAnsi" w:cstheme="minorHAnsi"/>
          <w:caps/>
          <w:color w:val="1F497D" w:themeColor="text2"/>
          <w:sz w:val="40"/>
          <w:szCs w:val="40"/>
        </w:rPr>
        <w:t xml:space="preserve">Jak tworzy się programy motywacyjne </w:t>
      </w:r>
      <w:r w:rsidRPr="0097520B">
        <w:rPr>
          <w:rFonts w:asciiTheme="minorHAnsi" w:hAnsiTheme="minorHAnsi" w:cstheme="minorHAnsi"/>
          <w:caps/>
          <w:color w:val="1F497D" w:themeColor="text2"/>
          <w:sz w:val="40"/>
          <w:szCs w:val="40"/>
        </w:rPr>
        <w:br/>
        <w:t>dla kadry zarządzającej w Polsce?</w:t>
      </w:r>
    </w:p>
    <w:p w14:paraId="1B9B8D07" w14:textId="77777777" w:rsidR="00216A20" w:rsidRPr="0097520B" w:rsidRDefault="00216A20" w:rsidP="00216A20">
      <w:pPr>
        <w:jc w:val="center"/>
        <w:rPr>
          <w:rFonts w:asciiTheme="minorHAnsi" w:hAnsiTheme="minorHAnsi" w:cstheme="minorHAnsi"/>
        </w:rPr>
      </w:pPr>
    </w:p>
    <w:p w14:paraId="397DF6EC"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rPr>
        <w:t xml:space="preserve">W ostatnich latach Sedlak </w:t>
      </w:r>
      <w:r w:rsidRPr="0097520B">
        <w:rPr>
          <w:rFonts w:asciiTheme="minorHAnsi" w:hAnsiTheme="minorHAnsi" w:cstheme="minorHAnsi"/>
          <w:sz w:val="20"/>
          <w:szCs w:val="20"/>
        </w:rPr>
        <w:t>&amp;</w:t>
      </w:r>
      <w:r w:rsidRPr="0097520B">
        <w:rPr>
          <w:rFonts w:asciiTheme="minorHAnsi" w:hAnsiTheme="minorHAnsi" w:cstheme="minorHAnsi"/>
        </w:rPr>
        <w:t xml:space="preserve"> Sedlak obserwuje coraz większe zainteresowanie przedsiębiorstw tematyką premiowania kadry zarządzającej w długim horyzoncie czasowym. Doskonałym narzędziem pozwalającym na powiązanie wynagrodzenia menedżerów z wynikami ich pracy na przestrzeni kilku lat są programy motywacyjne. W poniższym artykule dowiedzą się Państwo w jaki sposób są one konstruowane. Jak długo trwają? Do kogo są kierowane? Jaki procent kapitału przekazywany jest menedżerom? Jakie miary wyników są w nich stosowane.</w:t>
      </w:r>
    </w:p>
    <w:p w14:paraId="30768A1C" w14:textId="77777777" w:rsidR="00216A20" w:rsidRPr="0097520B" w:rsidRDefault="00216A20" w:rsidP="00216A20">
      <w:pPr>
        <w:jc w:val="both"/>
        <w:rPr>
          <w:rFonts w:asciiTheme="minorHAnsi" w:hAnsiTheme="minorHAnsi" w:cstheme="minorHAnsi"/>
        </w:rPr>
      </w:pPr>
    </w:p>
    <w:p w14:paraId="4E9D2DDC" w14:textId="77777777" w:rsidR="00216A20" w:rsidRPr="0097520B" w:rsidRDefault="00216A20" w:rsidP="00216A20">
      <w:pPr>
        <w:jc w:val="both"/>
        <w:rPr>
          <w:rFonts w:asciiTheme="minorHAnsi" w:hAnsiTheme="minorHAnsi" w:cstheme="minorHAnsi"/>
        </w:rPr>
      </w:pPr>
    </w:p>
    <w:p w14:paraId="7EF53B04" w14:textId="77777777" w:rsidR="00216A20" w:rsidRPr="0097520B" w:rsidRDefault="00216A20" w:rsidP="0097520B">
      <w:pPr>
        <w:pStyle w:val="Nagwek3"/>
      </w:pPr>
      <w:r w:rsidRPr="0097520B">
        <w:t>Czym jest program motywacyjny?</w:t>
      </w:r>
    </w:p>
    <w:p w14:paraId="20E61073"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rPr>
        <w:t>Program motywacyjny to forma wynagrodzenia zmiennego oferowanego kluczowym pracownikom danej spółki. Odbiorcami programu są zazwyczaj członkowie zarządu, dyrektorzy i kierownicy wyższego szczebla. Są to osoby mające bezpośredni wpływ na wyniki przedsiębiorstwa. Program ma za zadanie motywować menedżerów do spełnienia określonych celów, zazwyczaj finansowych. Jest to też forma udziału w zysku przedsiębiorstwa. W momencie spełnienia określonych warunków osoby uprawnione otrzymują określoną ilość instrumentów kapitałowych. Instrumenty te można potem po określonej cenie zamienić na akcje spółki lub spieniężyć (w przypadku akcji fantomowych).</w:t>
      </w:r>
    </w:p>
    <w:p w14:paraId="3511D954" w14:textId="77777777" w:rsidR="00216A20" w:rsidRPr="0097520B" w:rsidRDefault="00216A20" w:rsidP="00216A20">
      <w:pPr>
        <w:jc w:val="both"/>
        <w:rPr>
          <w:rFonts w:asciiTheme="minorHAnsi" w:hAnsiTheme="minorHAnsi" w:cstheme="minorHAnsi"/>
        </w:rPr>
      </w:pPr>
    </w:p>
    <w:p w14:paraId="08CB4549" w14:textId="77777777" w:rsidR="00216A20" w:rsidRPr="0097520B" w:rsidRDefault="00216A20" w:rsidP="0097520B">
      <w:pPr>
        <w:pStyle w:val="Nagwek3"/>
      </w:pPr>
      <w:r w:rsidRPr="0097520B">
        <w:t>Kto zazwyczaj jest adresatem programów motywacyjnych?</w:t>
      </w:r>
    </w:p>
    <w:p w14:paraId="792DA5DB"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rPr>
        <w:t>Zdecydowana większość spółek adresuje programy motywacyjne do zarządu oraz kluczowych pracowników. Zazwyczaj rozumie się przez to kadrę dyrektorską i kierowniczą. Takie rozwiązanie stosuje 41 z 51 omawianych spółek.</w:t>
      </w:r>
    </w:p>
    <w:p w14:paraId="6740C66E" w14:textId="77777777" w:rsidR="00216A20" w:rsidRPr="0097520B" w:rsidRDefault="00216A20" w:rsidP="00216A20">
      <w:pPr>
        <w:rPr>
          <w:rFonts w:asciiTheme="minorHAnsi" w:hAnsiTheme="minorHAnsi" w:cstheme="minorHAnsi"/>
        </w:rPr>
      </w:pPr>
      <w:r w:rsidRPr="0097520B">
        <w:rPr>
          <w:rFonts w:asciiTheme="minorHAnsi" w:hAnsiTheme="minorHAnsi" w:cstheme="minorHAnsi"/>
        </w:rPr>
        <w:br w:type="page"/>
      </w:r>
    </w:p>
    <w:p w14:paraId="3B095E2D" w14:textId="77777777" w:rsidR="00216A20" w:rsidRPr="0097520B" w:rsidRDefault="00216A20" w:rsidP="00216A20">
      <w:pPr>
        <w:jc w:val="center"/>
        <w:rPr>
          <w:rFonts w:asciiTheme="minorHAnsi" w:hAnsiTheme="minorHAnsi" w:cstheme="minorHAnsi"/>
          <w:b/>
          <w:color w:val="1F497D" w:themeColor="text2"/>
        </w:rPr>
      </w:pPr>
      <w:r w:rsidRPr="0097520B">
        <w:rPr>
          <w:rFonts w:asciiTheme="minorHAnsi" w:hAnsiTheme="minorHAnsi" w:cstheme="minorHAnsi"/>
          <w:b/>
          <w:color w:val="1F497D" w:themeColor="text2"/>
        </w:rPr>
        <w:lastRenderedPageBreak/>
        <w:t>Wykres 1. Liczba spółek kierujących program motywacyjny do określonej grupy adresatów</w:t>
      </w:r>
    </w:p>
    <w:p w14:paraId="716EB39E"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noProof/>
        </w:rPr>
        <w:drawing>
          <wp:inline distT="0" distB="0" distL="0" distR="0" wp14:anchorId="2491D915" wp14:editId="0A41B261">
            <wp:extent cx="5819775" cy="3152775"/>
            <wp:effectExtent l="0" t="0" r="0" b="0"/>
            <wp:docPr id="4" name="Wykres 4">
              <a:extLst xmlns:a="http://schemas.openxmlformats.org/drawingml/2006/main">
                <a:ext uri="{FF2B5EF4-FFF2-40B4-BE49-F238E27FC236}">
                  <a16:creationId xmlns:a16="http://schemas.microsoft.com/office/drawing/2014/main" id="{1E4CB632-2DEC-4AB7-B971-D41B8A6FB6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EEDBB58" w14:textId="77777777" w:rsidR="00216A20" w:rsidRPr="00E31334" w:rsidRDefault="00216A20" w:rsidP="00216A20">
      <w:pPr>
        <w:jc w:val="center"/>
        <w:rPr>
          <w:rFonts w:asciiTheme="minorHAnsi" w:hAnsiTheme="minorHAnsi" w:cstheme="minorHAnsi"/>
          <w:i/>
          <w:iCs/>
          <w:sz w:val="18"/>
          <w:szCs w:val="18"/>
        </w:rPr>
      </w:pPr>
      <w:r w:rsidRPr="00E31334">
        <w:rPr>
          <w:rFonts w:asciiTheme="minorHAnsi" w:hAnsiTheme="minorHAnsi" w:cstheme="minorHAnsi"/>
          <w:i/>
          <w:iCs/>
          <w:sz w:val="18"/>
          <w:szCs w:val="18"/>
        </w:rPr>
        <w:t xml:space="preserve">Źródło: Raport Sedlak </w:t>
      </w:r>
      <w:r w:rsidRPr="00E31334">
        <w:rPr>
          <w:rFonts w:asciiTheme="minorHAnsi" w:hAnsiTheme="minorHAnsi" w:cstheme="minorHAnsi"/>
          <w:i/>
          <w:iCs/>
          <w:sz w:val="14"/>
          <w:szCs w:val="14"/>
        </w:rPr>
        <w:t xml:space="preserve">&amp; </w:t>
      </w:r>
      <w:r w:rsidRPr="00E31334">
        <w:rPr>
          <w:rFonts w:asciiTheme="minorHAnsi" w:hAnsiTheme="minorHAnsi" w:cstheme="minorHAnsi"/>
          <w:i/>
          <w:iCs/>
          <w:sz w:val="18"/>
          <w:szCs w:val="18"/>
        </w:rPr>
        <w:t>Sedlak „Programy motywacyjne w 2019 roku”</w:t>
      </w:r>
    </w:p>
    <w:p w14:paraId="4138FE0E" w14:textId="77777777" w:rsidR="00216A20" w:rsidRPr="0097520B" w:rsidRDefault="00216A20" w:rsidP="00216A20">
      <w:pPr>
        <w:jc w:val="center"/>
        <w:rPr>
          <w:rFonts w:asciiTheme="minorHAnsi" w:hAnsiTheme="minorHAnsi" w:cstheme="minorHAnsi"/>
          <w:i/>
          <w:iCs/>
        </w:rPr>
      </w:pPr>
    </w:p>
    <w:p w14:paraId="427725D2" w14:textId="77777777" w:rsidR="00216A20" w:rsidRPr="0097520B" w:rsidRDefault="00216A20" w:rsidP="00216A20">
      <w:pPr>
        <w:jc w:val="center"/>
        <w:rPr>
          <w:rFonts w:asciiTheme="minorHAnsi" w:hAnsiTheme="minorHAnsi" w:cstheme="minorHAnsi"/>
          <w:i/>
          <w:iCs/>
        </w:rPr>
      </w:pPr>
    </w:p>
    <w:p w14:paraId="6FF2AEBF" w14:textId="77777777" w:rsidR="00216A20" w:rsidRPr="0097520B" w:rsidRDefault="00216A20" w:rsidP="00216A20">
      <w:pPr>
        <w:jc w:val="center"/>
        <w:rPr>
          <w:rFonts w:asciiTheme="minorHAnsi" w:hAnsiTheme="minorHAnsi" w:cstheme="minorHAnsi"/>
          <w:i/>
          <w:iCs/>
        </w:rPr>
      </w:pPr>
    </w:p>
    <w:p w14:paraId="139B2FBC" w14:textId="77777777" w:rsidR="00E31334" w:rsidRDefault="00E31334" w:rsidP="0097520B">
      <w:pPr>
        <w:pStyle w:val="Nagwek3"/>
      </w:pPr>
    </w:p>
    <w:p w14:paraId="11636AB5" w14:textId="77777777" w:rsidR="00E31334" w:rsidRDefault="00E31334" w:rsidP="0097520B">
      <w:pPr>
        <w:pStyle w:val="Nagwek3"/>
      </w:pPr>
    </w:p>
    <w:p w14:paraId="4C26BDD6" w14:textId="4382F0F9" w:rsidR="00216A20" w:rsidRPr="0097520B" w:rsidRDefault="00216A20" w:rsidP="0097520B">
      <w:pPr>
        <w:pStyle w:val="Nagwek3"/>
      </w:pPr>
      <w:r w:rsidRPr="0097520B">
        <w:t>Na jakim instrumencie kapitałowym opiera się wypłaty z programu motywacyjnego?</w:t>
      </w:r>
    </w:p>
    <w:p w14:paraId="054D9CAD"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rPr>
        <w:t>W ramach programów motywacyjnych uczestnikom nie jest przekazywane zwykłe wynagrodzenie finansowe, lecz instrumenty kapitałowe. Przez instrumenty kapitałowe rozumie się akcje spółki, opcje na akcje lub warranty subskrypcyjne. Korzyścią finansową uczestników w ramach programu motywacyjnego jest wartość przekazywanych instrumentów. Uczestnik otrzymuje ich określoną ilość, po czym może je spieniężyć po określonej wycenie ustalanej przez rynek giełdowy lub w przypadku spółek niepublicznych na podstawie wyceny przedsiębiorstwa prowadzonej przez firmy doradcze.</w:t>
      </w:r>
    </w:p>
    <w:p w14:paraId="0D805BD6" w14:textId="77777777" w:rsidR="00216A20" w:rsidRPr="0097520B" w:rsidRDefault="00216A20" w:rsidP="00216A20">
      <w:pPr>
        <w:jc w:val="both"/>
        <w:rPr>
          <w:rFonts w:asciiTheme="minorHAnsi" w:hAnsiTheme="minorHAnsi" w:cstheme="minorHAnsi"/>
        </w:rPr>
      </w:pPr>
    </w:p>
    <w:p w14:paraId="104FE30F"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rPr>
        <w:t>Wśród analizowanych spółek najpopularniejszym instrumentem przekazywania kapitału w ramach programów motywacyjnych były warranty subskrypcyjne. Stosowało je 75% spółek. Warranty subskrypcyjne uprawniają posiadaczy do zakupu akcji nowej emisji po określonej cenie. Zyskiem posiadacza jest różnica pomiędzy ceną zakupu akcji nowej emisji, a ceną rynkową.</w:t>
      </w:r>
    </w:p>
    <w:p w14:paraId="63C66068" w14:textId="77777777" w:rsidR="00216A20" w:rsidRPr="0097520B" w:rsidRDefault="00216A20" w:rsidP="00216A20">
      <w:pPr>
        <w:rPr>
          <w:rFonts w:asciiTheme="minorHAnsi" w:hAnsiTheme="minorHAnsi" w:cstheme="minorHAnsi"/>
        </w:rPr>
      </w:pPr>
      <w:r w:rsidRPr="0097520B">
        <w:rPr>
          <w:rFonts w:asciiTheme="minorHAnsi" w:hAnsiTheme="minorHAnsi" w:cstheme="minorHAnsi"/>
        </w:rPr>
        <w:br w:type="page"/>
      </w:r>
    </w:p>
    <w:p w14:paraId="4C6D6B32" w14:textId="77777777" w:rsidR="00216A20" w:rsidRPr="0097520B" w:rsidRDefault="00216A20" w:rsidP="00216A20">
      <w:pPr>
        <w:jc w:val="center"/>
        <w:rPr>
          <w:rFonts w:asciiTheme="minorHAnsi" w:hAnsiTheme="minorHAnsi" w:cstheme="minorHAnsi"/>
          <w:b/>
          <w:color w:val="1F497D" w:themeColor="text2"/>
        </w:rPr>
      </w:pPr>
      <w:r w:rsidRPr="0097520B">
        <w:rPr>
          <w:rFonts w:asciiTheme="minorHAnsi" w:hAnsiTheme="minorHAnsi" w:cstheme="minorHAnsi"/>
          <w:b/>
          <w:color w:val="1F497D" w:themeColor="text2"/>
        </w:rPr>
        <w:lastRenderedPageBreak/>
        <w:t xml:space="preserve">Wykres 2. Liczba spółek stosujących </w:t>
      </w:r>
      <w:r w:rsidRPr="0097520B">
        <w:rPr>
          <w:rFonts w:asciiTheme="minorHAnsi" w:hAnsiTheme="minorHAnsi" w:cstheme="minorHAnsi"/>
          <w:b/>
          <w:color w:val="1F497D" w:themeColor="text2"/>
        </w:rPr>
        <w:br/>
        <w:t>dany instrument kapitałowy w programie motywacyjnym</w:t>
      </w:r>
    </w:p>
    <w:p w14:paraId="1CB628D8"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noProof/>
        </w:rPr>
        <w:drawing>
          <wp:inline distT="0" distB="0" distL="0" distR="0" wp14:anchorId="1564EC1D" wp14:editId="5BC2C2D7">
            <wp:extent cx="5760720" cy="3079332"/>
            <wp:effectExtent l="0" t="0" r="0" b="6985"/>
            <wp:docPr id="8" name="Wykres 8">
              <a:extLst xmlns:a="http://schemas.openxmlformats.org/drawingml/2006/main">
                <a:ext uri="{FF2B5EF4-FFF2-40B4-BE49-F238E27FC236}">
                  <a16:creationId xmlns:a16="http://schemas.microsoft.com/office/drawing/2014/main" id="{F75E7B3E-4450-444E-9745-86CC32333C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349AB7B" w14:textId="77777777" w:rsidR="00216A20" w:rsidRPr="00E31334" w:rsidRDefault="00216A20" w:rsidP="00216A20">
      <w:pPr>
        <w:jc w:val="center"/>
        <w:rPr>
          <w:rFonts w:asciiTheme="minorHAnsi" w:hAnsiTheme="minorHAnsi" w:cstheme="minorHAnsi"/>
          <w:sz w:val="18"/>
          <w:szCs w:val="18"/>
        </w:rPr>
      </w:pPr>
      <w:r w:rsidRPr="00E31334">
        <w:rPr>
          <w:rFonts w:asciiTheme="minorHAnsi" w:hAnsiTheme="minorHAnsi" w:cstheme="minorHAnsi"/>
          <w:i/>
          <w:iCs/>
          <w:sz w:val="18"/>
          <w:szCs w:val="18"/>
        </w:rPr>
        <w:t xml:space="preserve">Źródło: Raport Sedlak </w:t>
      </w:r>
      <w:r w:rsidRPr="00E31334">
        <w:rPr>
          <w:rFonts w:asciiTheme="minorHAnsi" w:hAnsiTheme="minorHAnsi" w:cstheme="minorHAnsi"/>
          <w:i/>
          <w:iCs/>
          <w:sz w:val="14"/>
          <w:szCs w:val="14"/>
        </w:rPr>
        <w:t>&amp;</w:t>
      </w:r>
      <w:r w:rsidRPr="00E31334">
        <w:rPr>
          <w:rFonts w:asciiTheme="minorHAnsi" w:hAnsiTheme="minorHAnsi" w:cstheme="minorHAnsi"/>
          <w:i/>
          <w:iCs/>
          <w:sz w:val="18"/>
          <w:szCs w:val="18"/>
        </w:rPr>
        <w:t xml:space="preserve"> Sedlak „Programy motywacyjne w 2019 roku”</w:t>
      </w:r>
    </w:p>
    <w:p w14:paraId="0C444C54" w14:textId="77777777" w:rsidR="00216A20" w:rsidRPr="0097520B" w:rsidRDefault="00216A20" w:rsidP="00216A20">
      <w:pPr>
        <w:jc w:val="both"/>
        <w:rPr>
          <w:rFonts w:asciiTheme="minorHAnsi" w:hAnsiTheme="minorHAnsi" w:cstheme="minorHAnsi"/>
          <w:b/>
          <w:bCs/>
        </w:rPr>
      </w:pPr>
    </w:p>
    <w:p w14:paraId="3330E04C" w14:textId="77777777" w:rsidR="00216A20" w:rsidRPr="0097520B" w:rsidRDefault="00216A20" w:rsidP="00216A20">
      <w:pPr>
        <w:jc w:val="both"/>
        <w:rPr>
          <w:rFonts w:asciiTheme="minorHAnsi" w:hAnsiTheme="minorHAnsi" w:cstheme="minorHAnsi"/>
        </w:rPr>
      </w:pPr>
    </w:p>
    <w:p w14:paraId="75199CC5" w14:textId="2E016AF6" w:rsidR="00216A20" w:rsidRDefault="00216A20" w:rsidP="00216A20">
      <w:pPr>
        <w:jc w:val="both"/>
        <w:rPr>
          <w:rFonts w:asciiTheme="minorHAnsi" w:hAnsiTheme="minorHAnsi" w:cstheme="minorHAnsi"/>
        </w:rPr>
      </w:pPr>
    </w:p>
    <w:p w14:paraId="0771249B" w14:textId="1A95FB7E" w:rsidR="00E31334" w:rsidRDefault="00E31334" w:rsidP="00216A20">
      <w:pPr>
        <w:jc w:val="both"/>
        <w:rPr>
          <w:rFonts w:asciiTheme="minorHAnsi" w:hAnsiTheme="minorHAnsi" w:cstheme="minorHAnsi"/>
        </w:rPr>
      </w:pPr>
    </w:p>
    <w:p w14:paraId="06DDD88F" w14:textId="77777777" w:rsidR="00E31334" w:rsidRPr="0097520B" w:rsidRDefault="00E31334" w:rsidP="00216A20">
      <w:pPr>
        <w:jc w:val="both"/>
        <w:rPr>
          <w:rFonts w:asciiTheme="minorHAnsi" w:hAnsiTheme="minorHAnsi" w:cstheme="minorHAnsi"/>
        </w:rPr>
      </w:pPr>
    </w:p>
    <w:p w14:paraId="72A0379C" w14:textId="77777777" w:rsidR="00216A20" w:rsidRPr="0097520B" w:rsidRDefault="00216A20" w:rsidP="0097520B">
      <w:pPr>
        <w:pStyle w:val="Nagwek3"/>
      </w:pPr>
      <w:r w:rsidRPr="0097520B">
        <w:t>Na jaki czas uchwala się programy motywacyjne?</w:t>
      </w:r>
    </w:p>
    <w:p w14:paraId="07825A3B"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rPr>
        <w:t>Jednym z najważniejszych parametrów programu motywacyjnego jest okres za jaki dokonywana jest ocena wyników pracy uczestników. W badanych spółkach były to zazwyczaj 3 lata. Dobrą praktyką stosowania programów motywacyjnych jest ocena wyników spółki, będących podstawą do wypłat z programu, w długim terminie. Jako definicję długiego terminu zazwyczaj podaje się okres co najmniej 3 lat. Programy dłuższe niż 3 lata stosowało 17 spółek.</w:t>
      </w:r>
    </w:p>
    <w:p w14:paraId="2ECC34F8" w14:textId="77777777" w:rsidR="00216A20" w:rsidRPr="0097520B" w:rsidRDefault="00216A20" w:rsidP="00216A20">
      <w:pPr>
        <w:rPr>
          <w:rFonts w:asciiTheme="minorHAnsi" w:hAnsiTheme="minorHAnsi" w:cstheme="minorHAnsi"/>
        </w:rPr>
      </w:pPr>
      <w:r w:rsidRPr="0097520B">
        <w:rPr>
          <w:rFonts w:asciiTheme="minorHAnsi" w:hAnsiTheme="minorHAnsi" w:cstheme="minorHAnsi"/>
        </w:rPr>
        <w:br w:type="page"/>
      </w:r>
    </w:p>
    <w:p w14:paraId="6B18D606" w14:textId="77777777" w:rsidR="00216A20" w:rsidRPr="0097520B" w:rsidRDefault="00216A20" w:rsidP="00216A20">
      <w:pPr>
        <w:jc w:val="center"/>
        <w:rPr>
          <w:rFonts w:asciiTheme="minorHAnsi" w:hAnsiTheme="minorHAnsi" w:cstheme="minorHAnsi"/>
        </w:rPr>
      </w:pPr>
      <w:r w:rsidRPr="0097520B">
        <w:rPr>
          <w:rFonts w:asciiTheme="minorHAnsi" w:hAnsiTheme="minorHAnsi" w:cstheme="minorHAnsi"/>
          <w:b/>
          <w:color w:val="1F497D" w:themeColor="text2"/>
        </w:rPr>
        <w:lastRenderedPageBreak/>
        <w:t xml:space="preserve">Wykres 3. Liczba spółek stosujących </w:t>
      </w:r>
      <w:r w:rsidRPr="0097520B">
        <w:rPr>
          <w:rFonts w:asciiTheme="minorHAnsi" w:hAnsiTheme="minorHAnsi" w:cstheme="minorHAnsi"/>
          <w:b/>
          <w:color w:val="1F497D" w:themeColor="text2"/>
        </w:rPr>
        <w:br/>
        <w:t>określony całkowity czas oceny wyników w ramach programu motywacyjnego</w:t>
      </w:r>
    </w:p>
    <w:p w14:paraId="32D78C68" w14:textId="77777777" w:rsidR="00216A20" w:rsidRPr="0097520B" w:rsidRDefault="00216A20" w:rsidP="00216A20">
      <w:pPr>
        <w:jc w:val="center"/>
        <w:rPr>
          <w:rFonts w:asciiTheme="minorHAnsi" w:hAnsiTheme="minorHAnsi" w:cstheme="minorHAnsi"/>
        </w:rPr>
      </w:pPr>
      <w:r w:rsidRPr="0097520B">
        <w:rPr>
          <w:rFonts w:asciiTheme="minorHAnsi" w:hAnsiTheme="minorHAnsi" w:cstheme="minorHAnsi"/>
          <w:noProof/>
        </w:rPr>
        <w:drawing>
          <wp:inline distT="0" distB="0" distL="0" distR="0" wp14:anchorId="59B995AF" wp14:editId="3FB043C6">
            <wp:extent cx="5760720" cy="3181350"/>
            <wp:effectExtent l="0" t="0" r="0" b="0"/>
            <wp:docPr id="20" name="Wykres 20">
              <a:extLst xmlns:a="http://schemas.openxmlformats.org/drawingml/2006/main">
                <a:ext uri="{FF2B5EF4-FFF2-40B4-BE49-F238E27FC236}">
                  <a16:creationId xmlns:a16="http://schemas.microsoft.com/office/drawing/2014/main" id="{422D2E10-357C-40E8-8B58-200205AD6DC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2323EBC" w14:textId="77777777" w:rsidR="00216A20" w:rsidRPr="0097520B" w:rsidRDefault="00216A20" w:rsidP="00216A20">
      <w:pPr>
        <w:jc w:val="center"/>
        <w:rPr>
          <w:rFonts w:asciiTheme="minorHAnsi" w:hAnsiTheme="minorHAnsi" w:cstheme="minorHAnsi"/>
          <w:sz w:val="18"/>
          <w:szCs w:val="18"/>
        </w:rPr>
      </w:pPr>
      <w:r w:rsidRPr="0097520B">
        <w:rPr>
          <w:rFonts w:asciiTheme="minorHAnsi" w:hAnsiTheme="minorHAnsi" w:cstheme="minorHAnsi"/>
          <w:i/>
          <w:iCs/>
          <w:sz w:val="18"/>
          <w:szCs w:val="18"/>
        </w:rPr>
        <w:t xml:space="preserve">Źródło: Raport Sedlak </w:t>
      </w:r>
      <w:r w:rsidRPr="00E31334">
        <w:rPr>
          <w:rFonts w:asciiTheme="minorHAnsi" w:hAnsiTheme="minorHAnsi" w:cstheme="minorHAnsi"/>
          <w:i/>
          <w:iCs/>
          <w:sz w:val="14"/>
          <w:szCs w:val="14"/>
        </w:rPr>
        <w:t>&amp;</w:t>
      </w:r>
      <w:r w:rsidRPr="0097520B">
        <w:rPr>
          <w:rFonts w:asciiTheme="minorHAnsi" w:hAnsiTheme="minorHAnsi" w:cstheme="minorHAnsi"/>
          <w:i/>
          <w:iCs/>
          <w:sz w:val="18"/>
          <w:szCs w:val="18"/>
        </w:rPr>
        <w:t xml:space="preserve"> Sedlak „Programy motywacyjne w 2019 roku”</w:t>
      </w:r>
    </w:p>
    <w:p w14:paraId="2C9D7AAE" w14:textId="77777777" w:rsidR="00216A20" w:rsidRPr="0097520B" w:rsidRDefault="00216A20" w:rsidP="00216A20">
      <w:pPr>
        <w:rPr>
          <w:rFonts w:asciiTheme="minorHAnsi" w:hAnsiTheme="minorHAnsi" w:cstheme="minorHAnsi"/>
        </w:rPr>
      </w:pPr>
    </w:p>
    <w:p w14:paraId="30782A85" w14:textId="77777777" w:rsidR="00216A20" w:rsidRPr="0097520B" w:rsidRDefault="00216A20" w:rsidP="00216A20">
      <w:pPr>
        <w:rPr>
          <w:rFonts w:asciiTheme="minorHAnsi" w:hAnsiTheme="minorHAnsi" w:cstheme="minorHAnsi"/>
        </w:rPr>
      </w:pPr>
    </w:p>
    <w:p w14:paraId="0D040AD5" w14:textId="77777777" w:rsidR="00216A20" w:rsidRPr="0097520B" w:rsidRDefault="00216A20" w:rsidP="00216A20">
      <w:pPr>
        <w:rPr>
          <w:rFonts w:asciiTheme="minorHAnsi" w:hAnsiTheme="minorHAnsi" w:cstheme="minorHAnsi"/>
        </w:rPr>
      </w:pPr>
    </w:p>
    <w:p w14:paraId="5C20FB7E" w14:textId="77777777" w:rsidR="00E31334" w:rsidRDefault="00E31334" w:rsidP="0097520B">
      <w:pPr>
        <w:pStyle w:val="Nagwek3"/>
      </w:pPr>
    </w:p>
    <w:p w14:paraId="219B43F3" w14:textId="77777777" w:rsidR="00E31334" w:rsidRDefault="00E31334" w:rsidP="0097520B">
      <w:pPr>
        <w:pStyle w:val="Nagwek3"/>
      </w:pPr>
    </w:p>
    <w:p w14:paraId="6F205109" w14:textId="785CF7CC" w:rsidR="00216A20" w:rsidRPr="0097520B" w:rsidRDefault="00216A20" w:rsidP="0097520B">
      <w:pPr>
        <w:pStyle w:val="Nagwek3"/>
      </w:pPr>
      <w:r w:rsidRPr="0097520B">
        <w:t>Jaką ilość instrumentów kapitałowych przyznaje się w ramach programów motywacyjnych?</w:t>
      </w:r>
    </w:p>
    <w:p w14:paraId="45D1C74C"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rPr>
        <w:t xml:space="preserve">Wielkość danego programu motywacyjnego najłatwiej określić poprzez udział przyznawanych instrumentów kapitałowych w dotychczasowym kapitale akcyjnym. Mediana udziału instrumentów przyznawanych w ramach programu w kapitale </w:t>
      </w:r>
      <w:bookmarkStart w:id="0" w:name="_GoBack"/>
      <w:bookmarkEnd w:id="0"/>
      <w:r w:rsidRPr="0097520B">
        <w:rPr>
          <w:rFonts w:asciiTheme="minorHAnsi" w:hAnsiTheme="minorHAnsi" w:cstheme="minorHAnsi"/>
        </w:rPr>
        <w:t>zakładowym to 3,3%. Jedna czwarta przedsiębiorstw przyznawała instrumenty kapitałowe stanowiące mniej niż 2,0% kapitału, a jedna czwarta więcej niż 5,2%.</w:t>
      </w:r>
    </w:p>
    <w:p w14:paraId="1BD7805C" w14:textId="77777777" w:rsidR="00216A20" w:rsidRPr="0097520B" w:rsidRDefault="00216A20" w:rsidP="00216A20">
      <w:pPr>
        <w:rPr>
          <w:rFonts w:asciiTheme="minorHAnsi" w:hAnsiTheme="minorHAnsi" w:cstheme="minorHAnsi"/>
        </w:rPr>
      </w:pPr>
    </w:p>
    <w:p w14:paraId="3564036B" w14:textId="51F92BC0" w:rsidR="00216A20" w:rsidRPr="0097520B" w:rsidRDefault="00216A20" w:rsidP="00216A20">
      <w:pPr>
        <w:jc w:val="center"/>
        <w:rPr>
          <w:rFonts w:asciiTheme="minorHAnsi" w:hAnsiTheme="minorHAnsi" w:cstheme="minorHAnsi"/>
        </w:rPr>
      </w:pPr>
      <w:r w:rsidRPr="0097520B">
        <w:rPr>
          <w:rFonts w:asciiTheme="minorHAnsi" w:hAnsiTheme="minorHAnsi" w:cstheme="minorHAnsi"/>
          <w:b/>
          <w:color w:val="1F497D" w:themeColor="text2"/>
        </w:rPr>
        <w:t xml:space="preserve">Tabela </w:t>
      </w:r>
      <w:r w:rsidRPr="0097520B">
        <w:rPr>
          <w:rFonts w:asciiTheme="minorHAnsi" w:hAnsiTheme="minorHAnsi" w:cstheme="minorHAnsi"/>
          <w:b/>
          <w:color w:val="1F497D" w:themeColor="text2"/>
        </w:rPr>
        <w:fldChar w:fldCharType="begin"/>
      </w:r>
      <w:r w:rsidRPr="0097520B">
        <w:rPr>
          <w:rFonts w:asciiTheme="minorHAnsi" w:hAnsiTheme="minorHAnsi" w:cstheme="minorHAnsi"/>
          <w:b/>
          <w:color w:val="1F497D" w:themeColor="text2"/>
        </w:rPr>
        <w:instrText xml:space="preserve"> SEQ Tabela \* ARABIC </w:instrText>
      </w:r>
      <w:r w:rsidRPr="0097520B">
        <w:rPr>
          <w:rFonts w:asciiTheme="minorHAnsi" w:hAnsiTheme="minorHAnsi" w:cstheme="minorHAnsi"/>
          <w:b/>
          <w:color w:val="1F497D" w:themeColor="text2"/>
        </w:rPr>
        <w:fldChar w:fldCharType="separate"/>
      </w:r>
      <w:r w:rsidRPr="0097520B">
        <w:rPr>
          <w:rFonts w:asciiTheme="minorHAnsi" w:hAnsiTheme="minorHAnsi" w:cstheme="minorHAnsi"/>
          <w:b/>
          <w:noProof/>
          <w:color w:val="1F497D" w:themeColor="text2"/>
        </w:rPr>
        <w:t>1</w:t>
      </w:r>
      <w:r w:rsidRPr="0097520B">
        <w:rPr>
          <w:rFonts w:asciiTheme="minorHAnsi" w:hAnsiTheme="minorHAnsi" w:cstheme="minorHAnsi"/>
          <w:b/>
          <w:color w:val="1F497D" w:themeColor="text2"/>
        </w:rPr>
        <w:fldChar w:fldCharType="end"/>
      </w:r>
      <w:r w:rsidRPr="0097520B">
        <w:rPr>
          <w:rFonts w:asciiTheme="minorHAnsi" w:hAnsiTheme="minorHAnsi" w:cstheme="minorHAnsi"/>
          <w:b/>
          <w:color w:val="1F497D" w:themeColor="text2"/>
        </w:rPr>
        <w:t xml:space="preserve">. Ile instrumentów kapitałowych przyznaje się </w:t>
      </w:r>
      <w:r w:rsidR="002758F1">
        <w:rPr>
          <w:rFonts w:asciiTheme="minorHAnsi" w:hAnsiTheme="minorHAnsi" w:cstheme="minorHAnsi"/>
          <w:b/>
          <w:color w:val="1F497D" w:themeColor="text2"/>
        </w:rPr>
        <w:br/>
      </w:r>
      <w:r w:rsidRPr="0097520B">
        <w:rPr>
          <w:rFonts w:asciiTheme="minorHAnsi" w:hAnsiTheme="minorHAnsi" w:cstheme="minorHAnsi"/>
          <w:b/>
          <w:color w:val="1F497D" w:themeColor="text2"/>
        </w:rPr>
        <w:t xml:space="preserve">w ramach programów motywacyjnych </w:t>
      </w:r>
      <w:r w:rsidRPr="0097520B">
        <w:rPr>
          <w:rFonts w:asciiTheme="minorHAnsi" w:hAnsiTheme="minorHAnsi" w:cstheme="minorHAnsi"/>
          <w:b/>
          <w:color w:val="1F497D" w:themeColor="text2"/>
        </w:rPr>
        <w:br/>
        <w:t>(ilość wyrażona jako udział procentowy w kapitale akcyjnym spółki)</w:t>
      </w:r>
    </w:p>
    <w:tbl>
      <w:tblPr>
        <w:tblStyle w:val="Tabela-Siatka"/>
        <w:tblW w:w="9072" w:type="dxa"/>
        <w:tblBorders>
          <w:top w:val="none" w:sz="0" w:space="0" w:color="auto"/>
          <w:left w:val="none" w:sz="0" w:space="0" w:color="auto"/>
          <w:bottom w:val="none" w:sz="0" w:space="0" w:color="auto"/>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2319"/>
        <w:gridCol w:w="869"/>
        <w:gridCol w:w="1468"/>
        <w:gridCol w:w="1478"/>
        <w:gridCol w:w="1469"/>
        <w:gridCol w:w="1469"/>
      </w:tblGrid>
      <w:tr w:rsidR="00216A20" w:rsidRPr="0097520B" w14:paraId="6182AA95" w14:textId="77777777" w:rsidTr="009D3BF9">
        <w:trPr>
          <w:trHeight w:hRule="exact" w:val="567"/>
        </w:trPr>
        <w:tc>
          <w:tcPr>
            <w:tcW w:w="2342" w:type="dxa"/>
            <w:shd w:val="clear" w:color="auto" w:fill="E84A5F"/>
            <w:vAlign w:val="center"/>
          </w:tcPr>
          <w:p w14:paraId="58E3E9F9" w14:textId="77777777" w:rsidR="00216A20" w:rsidRPr="0097520B" w:rsidRDefault="00216A20" w:rsidP="009D3BF9">
            <w:pPr>
              <w:jc w:val="center"/>
              <w:rPr>
                <w:rFonts w:asciiTheme="minorHAnsi" w:hAnsiTheme="minorHAnsi" w:cstheme="minorHAnsi"/>
                <w:b/>
                <w:color w:val="FECEA8"/>
              </w:rPr>
            </w:pPr>
          </w:p>
        </w:tc>
        <w:tc>
          <w:tcPr>
            <w:tcW w:w="815" w:type="dxa"/>
            <w:shd w:val="clear" w:color="auto" w:fill="E84A5F"/>
            <w:vAlign w:val="center"/>
          </w:tcPr>
          <w:p w14:paraId="3A93E7F3" w14:textId="77777777" w:rsidR="00216A20" w:rsidRPr="0097520B" w:rsidRDefault="00216A20" w:rsidP="009D3BF9">
            <w:pPr>
              <w:jc w:val="center"/>
              <w:rPr>
                <w:rFonts w:asciiTheme="minorHAnsi" w:hAnsiTheme="minorHAnsi" w:cstheme="minorHAnsi"/>
                <w:b/>
                <w:color w:val="F2F2F2" w:themeColor="background1" w:themeShade="F2"/>
              </w:rPr>
            </w:pPr>
            <w:r w:rsidRPr="0097520B">
              <w:rPr>
                <w:rFonts w:asciiTheme="minorHAnsi" w:hAnsiTheme="minorHAnsi" w:cstheme="minorHAnsi"/>
                <w:b/>
                <w:color w:val="F2F2F2" w:themeColor="background1" w:themeShade="F2"/>
              </w:rPr>
              <w:t>liczba spółek</w:t>
            </w:r>
          </w:p>
        </w:tc>
        <w:tc>
          <w:tcPr>
            <w:tcW w:w="1476" w:type="dxa"/>
            <w:shd w:val="clear" w:color="auto" w:fill="E84A5F"/>
            <w:vAlign w:val="center"/>
          </w:tcPr>
          <w:p w14:paraId="57361DBB" w14:textId="77777777" w:rsidR="00216A20" w:rsidRPr="0097520B" w:rsidRDefault="00216A20" w:rsidP="009D3BF9">
            <w:pPr>
              <w:jc w:val="center"/>
              <w:rPr>
                <w:rFonts w:asciiTheme="minorHAnsi" w:hAnsiTheme="minorHAnsi" w:cstheme="minorHAnsi"/>
                <w:b/>
                <w:color w:val="F2F2F2" w:themeColor="background1" w:themeShade="F2"/>
              </w:rPr>
            </w:pPr>
            <w:r w:rsidRPr="0097520B">
              <w:rPr>
                <w:rFonts w:asciiTheme="minorHAnsi" w:hAnsiTheme="minorHAnsi" w:cstheme="minorHAnsi"/>
                <w:b/>
                <w:color w:val="F2F2F2" w:themeColor="background1" w:themeShade="F2"/>
              </w:rPr>
              <w:t xml:space="preserve">dolny </w:t>
            </w:r>
            <w:r w:rsidRPr="0097520B">
              <w:rPr>
                <w:rFonts w:asciiTheme="minorHAnsi" w:hAnsiTheme="minorHAnsi" w:cstheme="minorHAnsi"/>
                <w:b/>
                <w:color w:val="F2F2F2" w:themeColor="background1" w:themeShade="F2"/>
              </w:rPr>
              <w:br/>
            </w:r>
            <w:proofErr w:type="spellStart"/>
            <w:r w:rsidRPr="0097520B">
              <w:rPr>
                <w:rFonts w:asciiTheme="minorHAnsi" w:hAnsiTheme="minorHAnsi" w:cstheme="minorHAnsi"/>
                <w:b/>
                <w:color w:val="F2F2F2" w:themeColor="background1" w:themeShade="F2"/>
              </w:rPr>
              <w:t>kwartyl</w:t>
            </w:r>
            <w:proofErr w:type="spellEnd"/>
          </w:p>
        </w:tc>
        <w:tc>
          <w:tcPr>
            <w:tcW w:w="1484" w:type="dxa"/>
            <w:shd w:val="clear" w:color="auto" w:fill="E84A5F"/>
            <w:vAlign w:val="center"/>
          </w:tcPr>
          <w:p w14:paraId="521F8193" w14:textId="77777777" w:rsidR="00216A20" w:rsidRPr="0097520B" w:rsidRDefault="00216A20" w:rsidP="009D3BF9">
            <w:pPr>
              <w:jc w:val="center"/>
              <w:rPr>
                <w:rFonts w:asciiTheme="minorHAnsi" w:hAnsiTheme="minorHAnsi" w:cstheme="minorHAnsi"/>
                <w:b/>
                <w:color w:val="F2F2F2" w:themeColor="background1" w:themeShade="F2"/>
              </w:rPr>
            </w:pPr>
            <w:r w:rsidRPr="0097520B">
              <w:rPr>
                <w:rFonts w:asciiTheme="minorHAnsi" w:hAnsiTheme="minorHAnsi" w:cstheme="minorHAnsi"/>
                <w:b/>
                <w:color w:val="F2F2F2" w:themeColor="background1" w:themeShade="F2"/>
              </w:rPr>
              <w:t>mediana</w:t>
            </w:r>
          </w:p>
        </w:tc>
        <w:tc>
          <w:tcPr>
            <w:tcW w:w="1477" w:type="dxa"/>
            <w:shd w:val="clear" w:color="auto" w:fill="E84A5F"/>
            <w:vAlign w:val="center"/>
          </w:tcPr>
          <w:p w14:paraId="1DBABACC" w14:textId="77777777" w:rsidR="00216A20" w:rsidRPr="0097520B" w:rsidRDefault="00216A20" w:rsidP="009D3BF9">
            <w:pPr>
              <w:jc w:val="center"/>
              <w:rPr>
                <w:rFonts w:asciiTheme="minorHAnsi" w:hAnsiTheme="minorHAnsi" w:cstheme="minorHAnsi"/>
                <w:b/>
                <w:color w:val="F2F2F2" w:themeColor="background1" w:themeShade="F2"/>
              </w:rPr>
            </w:pPr>
            <w:r w:rsidRPr="0097520B">
              <w:rPr>
                <w:rFonts w:asciiTheme="minorHAnsi" w:hAnsiTheme="minorHAnsi" w:cstheme="minorHAnsi"/>
                <w:b/>
                <w:color w:val="F2F2F2" w:themeColor="background1" w:themeShade="F2"/>
              </w:rPr>
              <w:t xml:space="preserve">górny </w:t>
            </w:r>
            <w:proofErr w:type="spellStart"/>
            <w:r w:rsidRPr="0097520B">
              <w:rPr>
                <w:rFonts w:asciiTheme="minorHAnsi" w:hAnsiTheme="minorHAnsi" w:cstheme="minorHAnsi"/>
                <w:b/>
                <w:color w:val="F2F2F2" w:themeColor="background1" w:themeShade="F2"/>
              </w:rPr>
              <w:t>kwartyl</w:t>
            </w:r>
            <w:proofErr w:type="spellEnd"/>
          </w:p>
        </w:tc>
        <w:tc>
          <w:tcPr>
            <w:tcW w:w="1478" w:type="dxa"/>
            <w:shd w:val="clear" w:color="auto" w:fill="E84A5F"/>
            <w:vAlign w:val="center"/>
          </w:tcPr>
          <w:p w14:paraId="1F9CE826" w14:textId="77777777" w:rsidR="00216A20" w:rsidRPr="0097520B" w:rsidRDefault="00216A20" w:rsidP="009D3BF9">
            <w:pPr>
              <w:jc w:val="center"/>
              <w:rPr>
                <w:rFonts w:asciiTheme="minorHAnsi" w:hAnsiTheme="minorHAnsi" w:cstheme="minorHAnsi"/>
                <w:b/>
                <w:color w:val="F2F2F2" w:themeColor="background1" w:themeShade="F2"/>
              </w:rPr>
            </w:pPr>
            <w:r w:rsidRPr="0097520B">
              <w:rPr>
                <w:rFonts w:asciiTheme="minorHAnsi" w:hAnsiTheme="minorHAnsi" w:cstheme="minorHAnsi"/>
                <w:b/>
                <w:color w:val="F2F2F2" w:themeColor="background1" w:themeShade="F2"/>
              </w:rPr>
              <w:t>średnia</w:t>
            </w:r>
          </w:p>
        </w:tc>
      </w:tr>
      <w:tr w:rsidR="00216A20" w:rsidRPr="0097520B" w14:paraId="51910252" w14:textId="77777777" w:rsidTr="009D3BF9">
        <w:trPr>
          <w:trHeight w:hRule="exact" w:val="567"/>
        </w:trPr>
        <w:tc>
          <w:tcPr>
            <w:tcW w:w="2342" w:type="dxa"/>
            <w:tcBorders>
              <w:top w:val="single" w:sz="4" w:space="0" w:color="808080" w:themeColor="background1" w:themeShade="80"/>
              <w:bottom w:val="single" w:sz="4" w:space="0" w:color="808080" w:themeColor="background1" w:themeShade="80"/>
            </w:tcBorders>
            <w:vAlign w:val="center"/>
          </w:tcPr>
          <w:p w14:paraId="6CD6F97B" w14:textId="77777777" w:rsidR="00216A20" w:rsidRPr="0097520B" w:rsidRDefault="00216A20" w:rsidP="009D3BF9">
            <w:pPr>
              <w:rPr>
                <w:rFonts w:asciiTheme="minorHAnsi" w:hAnsiTheme="minorHAnsi" w:cstheme="minorHAnsi"/>
              </w:rPr>
            </w:pPr>
            <w:r w:rsidRPr="0097520B">
              <w:rPr>
                <w:rFonts w:asciiTheme="minorHAnsi" w:hAnsiTheme="minorHAnsi" w:cstheme="minorHAnsi"/>
              </w:rPr>
              <w:t>ogółem</w:t>
            </w:r>
          </w:p>
        </w:tc>
        <w:tc>
          <w:tcPr>
            <w:tcW w:w="815" w:type="dxa"/>
            <w:tcBorders>
              <w:top w:val="single" w:sz="4" w:space="0" w:color="808080" w:themeColor="background1" w:themeShade="80"/>
              <w:bottom w:val="single" w:sz="4" w:space="0" w:color="808080" w:themeColor="background1" w:themeShade="80"/>
            </w:tcBorders>
            <w:shd w:val="clear" w:color="auto" w:fill="FFFFFF" w:themeFill="background1"/>
            <w:vAlign w:val="center"/>
          </w:tcPr>
          <w:p w14:paraId="0E2DDE58" w14:textId="77777777" w:rsidR="00216A20" w:rsidRPr="0097520B" w:rsidRDefault="00216A20" w:rsidP="009D3BF9">
            <w:pPr>
              <w:jc w:val="center"/>
              <w:rPr>
                <w:rFonts w:asciiTheme="minorHAnsi" w:hAnsiTheme="minorHAnsi" w:cstheme="minorHAnsi"/>
              </w:rPr>
            </w:pPr>
            <w:r w:rsidRPr="0097520B">
              <w:rPr>
                <w:rFonts w:asciiTheme="minorHAnsi" w:hAnsiTheme="minorHAnsi" w:cstheme="minorHAnsi"/>
                <w:color w:val="000000"/>
              </w:rPr>
              <w:t>51</w:t>
            </w:r>
          </w:p>
        </w:tc>
        <w:tc>
          <w:tcPr>
            <w:tcW w:w="1476" w:type="dxa"/>
            <w:tcBorders>
              <w:top w:val="single" w:sz="4" w:space="0" w:color="808080" w:themeColor="background1" w:themeShade="80"/>
              <w:bottom w:val="single" w:sz="4" w:space="0" w:color="808080" w:themeColor="background1" w:themeShade="80"/>
            </w:tcBorders>
            <w:shd w:val="clear" w:color="auto" w:fill="FFFFFF" w:themeFill="background1"/>
            <w:vAlign w:val="center"/>
          </w:tcPr>
          <w:p w14:paraId="10B796C9" w14:textId="77777777" w:rsidR="00216A20" w:rsidRPr="0097520B" w:rsidRDefault="00216A20" w:rsidP="009D3BF9">
            <w:pPr>
              <w:jc w:val="center"/>
              <w:rPr>
                <w:rFonts w:asciiTheme="minorHAnsi" w:hAnsiTheme="minorHAnsi" w:cstheme="minorHAnsi"/>
              </w:rPr>
            </w:pPr>
            <w:r w:rsidRPr="0097520B">
              <w:rPr>
                <w:rFonts w:asciiTheme="minorHAnsi" w:hAnsiTheme="minorHAnsi" w:cstheme="minorHAnsi"/>
                <w:color w:val="000000"/>
              </w:rPr>
              <w:t>2,0%</w:t>
            </w:r>
          </w:p>
        </w:tc>
        <w:tc>
          <w:tcPr>
            <w:tcW w:w="1484" w:type="dxa"/>
            <w:tcBorders>
              <w:top w:val="single" w:sz="4" w:space="0" w:color="808080" w:themeColor="background1" w:themeShade="80"/>
              <w:bottom w:val="single" w:sz="4" w:space="0" w:color="808080" w:themeColor="background1" w:themeShade="80"/>
            </w:tcBorders>
            <w:shd w:val="clear" w:color="auto" w:fill="FFFFFF" w:themeFill="background1"/>
            <w:vAlign w:val="center"/>
          </w:tcPr>
          <w:p w14:paraId="6E205510" w14:textId="77777777" w:rsidR="00216A20" w:rsidRPr="0097520B" w:rsidRDefault="00216A20" w:rsidP="009D3BF9">
            <w:pPr>
              <w:jc w:val="center"/>
              <w:rPr>
                <w:rFonts w:asciiTheme="minorHAnsi" w:hAnsiTheme="minorHAnsi" w:cstheme="minorHAnsi"/>
                <w:b/>
                <w:bCs/>
                <w:color w:val="C00000"/>
              </w:rPr>
            </w:pPr>
            <w:r w:rsidRPr="0097520B">
              <w:rPr>
                <w:rFonts w:asciiTheme="minorHAnsi" w:hAnsiTheme="minorHAnsi" w:cstheme="minorHAnsi"/>
                <w:b/>
                <w:bCs/>
                <w:color w:val="C00000"/>
              </w:rPr>
              <w:t>3,3%</w:t>
            </w:r>
          </w:p>
        </w:tc>
        <w:tc>
          <w:tcPr>
            <w:tcW w:w="1477" w:type="dxa"/>
            <w:tcBorders>
              <w:top w:val="single" w:sz="4" w:space="0" w:color="808080" w:themeColor="background1" w:themeShade="80"/>
              <w:bottom w:val="single" w:sz="4" w:space="0" w:color="808080" w:themeColor="background1" w:themeShade="80"/>
            </w:tcBorders>
            <w:shd w:val="clear" w:color="auto" w:fill="FFFFFF" w:themeFill="background1"/>
            <w:vAlign w:val="center"/>
          </w:tcPr>
          <w:p w14:paraId="696C41EB" w14:textId="77777777" w:rsidR="00216A20" w:rsidRPr="0097520B" w:rsidRDefault="00216A20" w:rsidP="009D3BF9">
            <w:pPr>
              <w:jc w:val="center"/>
              <w:rPr>
                <w:rFonts w:asciiTheme="minorHAnsi" w:hAnsiTheme="minorHAnsi" w:cstheme="minorHAnsi"/>
              </w:rPr>
            </w:pPr>
            <w:r w:rsidRPr="0097520B">
              <w:rPr>
                <w:rFonts w:asciiTheme="minorHAnsi" w:hAnsiTheme="minorHAnsi" w:cstheme="minorHAnsi"/>
                <w:color w:val="000000"/>
              </w:rPr>
              <w:t>5,2%</w:t>
            </w:r>
          </w:p>
        </w:tc>
        <w:tc>
          <w:tcPr>
            <w:tcW w:w="1478" w:type="dxa"/>
            <w:tcBorders>
              <w:top w:val="single" w:sz="4" w:space="0" w:color="808080" w:themeColor="background1" w:themeShade="80"/>
              <w:bottom w:val="single" w:sz="4" w:space="0" w:color="808080" w:themeColor="background1" w:themeShade="80"/>
            </w:tcBorders>
            <w:shd w:val="clear" w:color="auto" w:fill="FFFFFF" w:themeFill="background1"/>
            <w:vAlign w:val="center"/>
          </w:tcPr>
          <w:p w14:paraId="7929BEFE" w14:textId="77777777" w:rsidR="00216A20" w:rsidRPr="0097520B" w:rsidRDefault="00216A20" w:rsidP="009D3BF9">
            <w:pPr>
              <w:jc w:val="center"/>
              <w:rPr>
                <w:rFonts w:asciiTheme="minorHAnsi" w:hAnsiTheme="minorHAnsi" w:cstheme="minorHAnsi"/>
              </w:rPr>
            </w:pPr>
            <w:r w:rsidRPr="0097520B">
              <w:rPr>
                <w:rFonts w:asciiTheme="minorHAnsi" w:hAnsiTheme="minorHAnsi" w:cstheme="minorHAnsi"/>
                <w:color w:val="000000"/>
              </w:rPr>
              <w:t>4,0%</w:t>
            </w:r>
          </w:p>
        </w:tc>
      </w:tr>
    </w:tbl>
    <w:p w14:paraId="4312DAEE" w14:textId="77777777" w:rsidR="00216A20" w:rsidRPr="0097520B" w:rsidRDefault="00216A20" w:rsidP="00216A20">
      <w:pPr>
        <w:jc w:val="center"/>
        <w:rPr>
          <w:rFonts w:asciiTheme="minorHAnsi" w:hAnsiTheme="minorHAnsi" w:cstheme="minorHAnsi"/>
          <w:sz w:val="18"/>
          <w:szCs w:val="18"/>
        </w:rPr>
      </w:pPr>
      <w:r w:rsidRPr="0097520B">
        <w:rPr>
          <w:rFonts w:asciiTheme="minorHAnsi" w:hAnsiTheme="minorHAnsi" w:cstheme="minorHAnsi"/>
          <w:i/>
          <w:iCs/>
          <w:sz w:val="18"/>
          <w:szCs w:val="18"/>
        </w:rPr>
        <w:t>Źródło: Raport Sedlak &amp; Sedlak „Programy motywacyjne w 2019 roku”</w:t>
      </w:r>
    </w:p>
    <w:p w14:paraId="4565BFD1" w14:textId="77777777" w:rsidR="00216A20" w:rsidRPr="0097520B" w:rsidRDefault="00216A20" w:rsidP="00216A20">
      <w:pPr>
        <w:rPr>
          <w:rFonts w:asciiTheme="minorHAnsi" w:hAnsiTheme="minorHAnsi" w:cstheme="minorHAnsi"/>
        </w:rPr>
      </w:pPr>
    </w:p>
    <w:p w14:paraId="6B7C8938" w14:textId="77777777" w:rsidR="00216A20" w:rsidRPr="0097520B" w:rsidRDefault="00216A20" w:rsidP="00216A20">
      <w:pPr>
        <w:rPr>
          <w:rFonts w:asciiTheme="minorHAnsi" w:hAnsiTheme="minorHAnsi" w:cstheme="minorHAnsi"/>
        </w:rPr>
      </w:pPr>
    </w:p>
    <w:p w14:paraId="27E8BCDB" w14:textId="77777777" w:rsidR="00216A20" w:rsidRPr="0097520B" w:rsidRDefault="00216A20" w:rsidP="00216A20">
      <w:pPr>
        <w:rPr>
          <w:rFonts w:asciiTheme="minorHAnsi" w:hAnsiTheme="minorHAnsi" w:cstheme="minorHAnsi"/>
          <w:b/>
          <w:bCs/>
          <w:color w:val="1F497D" w:themeColor="text2"/>
        </w:rPr>
      </w:pPr>
      <w:r w:rsidRPr="0097520B">
        <w:rPr>
          <w:rFonts w:asciiTheme="minorHAnsi" w:hAnsiTheme="minorHAnsi" w:cstheme="minorHAnsi"/>
        </w:rPr>
        <w:br w:type="page"/>
      </w:r>
    </w:p>
    <w:p w14:paraId="26A1F66D" w14:textId="77777777" w:rsidR="00216A20" w:rsidRPr="0097520B" w:rsidRDefault="00216A20" w:rsidP="0097520B">
      <w:pPr>
        <w:pStyle w:val="Nagwek3"/>
      </w:pPr>
      <w:r w:rsidRPr="0097520B">
        <w:lastRenderedPageBreak/>
        <w:t>Za co przyznawane są instrumenty kapitałowe?</w:t>
      </w:r>
    </w:p>
    <w:p w14:paraId="2E777769"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rPr>
        <w:t>Prawdopodobnie najważniejszym elementem każdego programu motywacyjnego są tzw. KPI. Są to miary oceny wyników, za realizację których przyznawane są instrumenty kapitałowe. Spółki stosują zazwyczaj 1 - 3 takich wskaźników. W omawianych spółkach najpopularniejszą miarą był wskaźnik EBITDA. Stosowało go aż 17 z 31 spółek, które podzieliły się informacją o stosowanych miarach.</w:t>
      </w:r>
    </w:p>
    <w:p w14:paraId="382CB962" w14:textId="77777777" w:rsidR="00216A20" w:rsidRPr="0097520B" w:rsidRDefault="00216A20" w:rsidP="00216A20">
      <w:pPr>
        <w:jc w:val="both"/>
        <w:rPr>
          <w:rFonts w:asciiTheme="minorHAnsi" w:hAnsiTheme="minorHAnsi" w:cstheme="minorHAnsi"/>
        </w:rPr>
      </w:pPr>
    </w:p>
    <w:p w14:paraId="26D0ADF5" w14:textId="77777777" w:rsidR="00216A20" w:rsidRPr="0097520B" w:rsidRDefault="00216A20" w:rsidP="00216A20">
      <w:pPr>
        <w:pStyle w:val="Nagwek2"/>
        <w:rPr>
          <w:rFonts w:asciiTheme="minorHAnsi" w:hAnsiTheme="minorHAnsi" w:cstheme="minorHAnsi"/>
          <w:sz w:val="24"/>
          <w:szCs w:val="24"/>
          <w:lang w:val="pl-PL"/>
        </w:rPr>
      </w:pPr>
      <w:r w:rsidRPr="0097520B">
        <w:rPr>
          <w:rFonts w:asciiTheme="minorHAnsi" w:hAnsiTheme="minorHAnsi" w:cstheme="minorHAnsi"/>
          <w:sz w:val="24"/>
          <w:szCs w:val="24"/>
          <w:lang w:val="pl-PL"/>
        </w:rPr>
        <w:t>Wykres 4. Liczba spółek stosujących dane kryteria oceny wyników</w:t>
      </w:r>
    </w:p>
    <w:p w14:paraId="2EAE632D" w14:textId="77777777" w:rsidR="00216A20" w:rsidRPr="0097520B" w:rsidRDefault="00216A20" w:rsidP="00216A20">
      <w:pPr>
        <w:jc w:val="center"/>
        <w:rPr>
          <w:rFonts w:asciiTheme="minorHAnsi" w:hAnsiTheme="minorHAnsi" w:cstheme="minorHAnsi"/>
        </w:rPr>
      </w:pPr>
      <w:r w:rsidRPr="0097520B">
        <w:rPr>
          <w:rFonts w:asciiTheme="minorHAnsi" w:hAnsiTheme="minorHAnsi" w:cstheme="minorHAnsi"/>
          <w:noProof/>
        </w:rPr>
        <w:drawing>
          <wp:inline distT="0" distB="0" distL="0" distR="0" wp14:anchorId="6824DDAA" wp14:editId="6958C1AF">
            <wp:extent cx="5760720" cy="3541426"/>
            <wp:effectExtent l="0" t="0" r="0" b="1905"/>
            <wp:docPr id="3" name="Wykres 3">
              <a:extLst xmlns:a="http://schemas.openxmlformats.org/drawingml/2006/main">
                <a:ext uri="{FF2B5EF4-FFF2-40B4-BE49-F238E27FC236}">
                  <a16:creationId xmlns:a16="http://schemas.microsoft.com/office/drawing/2014/main" id="{AE84016F-9ED5-4E6A-AF59-41CF1F96960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31F80A6" w14:textId="77777777" w:rsidR="00216A20" w:rsidRPr="0097520B" w:rsidRDefault="00216A20" w:rsidP="00216A20">
      <w:pPr>
        <w:jc w:val="center"/>
        <w:rPr>
          <w:rFonts w:asciiTheme="minorHAnsi" w:hAnsiTheme="minorHAnsi" w:cstheme="minorHAnsi"/>
          <w:sz w:val="18"/>
          <w:szCs w:val="18"/>
        </w:rPr>
      </w:pPr>
      <w:r w:rsidRPr="0097520B">
        <w:rPr>
          <w:rFonts w:asciiTheme="minorHAnsi" w:hAnsiTheme="minorHAnsi" w:cstheme="minorHAnsi"/>
          <w:i/>
          <w:iCs/>
          <w:sz w:val="18"/>
          <w:szCs w:val="18"/>
        </w:rPr>
        <w:t xml:space="preserve">Źródło: Raport Sedlak </w:t>
      </w:r>
      <w:r w:rsidRPr="00E31334">
        <w:rPr>
          <w:rFonts w:asciiTheme="minorHAnsi" w:hAnsiTheme="minorHAnsi" w:cstheme="minorHAnsi"/>
          <w:i/>
          <w:iCs/>
          <w:sz w:val="14"/>
          <w:szCs w:val="14"/>
        </w:rPr>
        <w:t>&amp;</w:t>
      </w:r>
      <w:r w:rsidRPr="0097520B">
        <w:rPr>
          <w:rFonts w:asciiTheme="minorHAnsi" w:hAnsiTheme="minorHAnsi" w:cstheme="minorHAnsi"/>
          <w:i/>
          <w:iCs/>
          <w:sz w:val="18"/>
          <w:szCs w:val="18"/>
        </w:rPr>
        <w:t xml:space="preserve"> Sedlak „Programy motywacyjne w 2019 roku”</w:t>
      </w:r>
    </w:p>
    <w:p w14:paraId="1A974F33" w14:textId="5C8A780C" w:rsidR="00216A20" w:rsidRDefault="00216A20" w:rsidP="00216A20">
      <w:pPr>
        <w:jc w:val="center"/>
        <w:rPr>
          <w:rFonts w:asciiTheme="minorHAnsi" w:hAnsiTheme="minorHAnsi" w:cstheme="minorHAnsi"/>
        </w:rPr>
      </w:pPr>
    </w:p>
    <w:p w14:paraId="472C5C18" w14:textId="77777777" w:rsidR="00E31334" w:rsidRPr="0097520B" w:rsidRDefault="00E31334" w:rsidP="00216A20">
      <w:pPr>
        <w:jc w:val="center"/>
        <w:rPr>
          <w:rFonts w:asciiTheme="minorHAnsi" w:hAnsiTheme="minorHAnsi" w:cstheme="minorHAnsi"/>
        </w:rPr>
      </w:pPr>
    </w:p>
    <w:p w14:paraId="39C62AC6" w14:textId="77777777" w:rsidR="00216A20" w:rsidRPr="0097520B" w:rsidRDefault="00216A20" w:rsidP="00216A20">
      <w:pPr>
        <w:jc w:val="center"/>
        <w:rPr>
          <w:rFonts w:asciiTheme="minorHAnsi" w:hAnsiTheme="minorHAnsi" w:cstheme="minorHAnsi"/>
        </w:rPr>
      </w:pPr>
    </w:p>
    <w:p w14:paraId="0263C034" w14:textId="77777777" w:rsidR="00216A20" w:rsidRPr="0097520B" w:rsidRDefault="00216A20" w:rsidP="0097520B">
      <w:pPr>
        <w:pStyle w:val="Nagwek3"/>
      </w:pPr>
      <w:r w:rsidRPr="0097520B">
        <w:t>Podsumowanie</w:t>
      </w:r>
    </w:p>
    <w:p w14:paraId="47D14F4D" w14:textId="77777777" w:rsidR="00216A20" w:rsidRPr="0097520B" w:rsidRDefault="00216A20" w:rsidP="00216A20">
      <w:pPr>
        <w:jc w:val="both"/>
        <w:rPr>
          <w:rFonts w:asciiTheme="minorHAnsi" w:hAnsiTheme="minorHAnsi" w:cstheme="minorHAnsi"/>
        </w:rPr>
      </w:pPr>
      <w:r w:rsidRPr="0097520B">
        <w:rPr>
          <w:rFonts w:asciiTheme="minorHAnsi" w:hAnsiTheme="minorHAnsi" w:cstheme="minorHAnsi"/>
        </w:rPr>
        <w:t>Wprowadzenie programu motywacyjnego dla kadry zarządzającej z pewnością nie jest zadaniem łatwym. Projektujące go osoby stają przed trudnym zadaniem pogodzenia interesów sponsorów programu (właścicieli, akcjonariuszy) i jego odbiorców (menedżerów). Po drodze należy dobrać właściwe miary wyników, które będą uwzględniać najważniejsze aspekty działalności przedsiębiorstwa. W końcu największym problemem jest prognozowanie przyszłości. Projektant musi zastanowić się jak będzie wyglądała sytuacja gospodarcza na rynku, oraz samego przedsiębiorstwa, za kilka lat. Te trudności sprawiają, że niestety bardzo duża ilość programów nie zostaje zakończonych sukcesem. Jeżeli chcą Państwo dowiedzieć się więcej na temat możliwości wdrożenia programu motywacyjnego w Państwa firmie zapraszamy do kontaktu z naszymi konsultantami.</w:t>
      </w:r>
    </w:p>
    <w:p w14:paraId="43DC1098" w14:textId="77777777" w:rsidR="00216A20" w:rsidRPr="0097520B" w:rsidRDefault="00216A20" w:rsidP="00216A20">
      <w:pPr>
        <w:jc w:val="both"/>
        <w:rPr>
          <w:rFonts w:asciiTheme="minorHAnsi" w:hAnsiTheme="minorHAnsi" w:cstheme="minorHAnsi"/>
        </w:rPr>
      </w:pPr>
    </w:p>
    <w:p w14:paraId="6C757CF8" w14:textId="77777777" w:rsidR="00216A20" w:rsidRPr="0097520B" w:rsidRDefault="00216A20" w:rsidP="0097520B">
      <w:pPr>
        <w:pStyle w:val="Nagwek3"/>
      </w:pPr>
    </w:p>
    <w:p w14:paraId="7248298E" w14:textId="77777777" w:rsidR="00216A20" w:rsidRPr="0097520B" w:rsidRDefault="00216A20" w:rsidP="0097520B">
      <w:pPr>
        <w:pStyle w:val="Nagwek3"/>
        <w:rPr>
          <w:i/>
          <w:iCs/>
        </w:rPr>
      </w:pPr>
      <w:r w:rsidRPr="0097520B">
        <w:rPr>
          <w:i/>
          <w:iCs/>
        </w:rPr>
        <w:t>Konrad Akowacz</w:t>
      </w:r>
    </w:p>
    <w:p w14:paraId="556F2957" w14:textId="77777777" w:rsidR="00216A20" w:rsidRPr="0097520B" w:rsidRDefault="00216A20" w:rsidP="0097520B">
      <w:pPr>
        <w:pStyle w:val="Nagwek3"/>
        <w:rPr>
          <w:i/>
          <w:iCs/>
        </w:rPr>
      </w:pPr>
      <w:r w:rsidRPr="0097520B">
        <w:rPr>
          <w:i/>
          <w:iCs/>
        </w:rPr>
        <w:t>Sedlak &amp; Sedlak</w:t>
      </w:r>
    </w:p>
    <w:p w14:paraId="2CEDC345" w14:textId="77777777" w:rsidR="001061D6" w:rsidRPr="0097520B" w:rsidRDefault="001061D6" w:rsidP="001061D6">
      <w:pPr>
        <w:jc w:val="center"/>
        <w:rPr>
          <w:rFonts w:asciiTheme="minorHAnsi" w:hAnsiTheme="minorHAnsi" w:cstheme="minorHAnsi"/>
        </w:rPr>
      </w:pPr>
    </w:p>
    <w:p w14:paraId="3868FA0B" w14:textId="77777777" w:rsidR="0000005A" w:rsidRPr="0097520B" w:rsidRDefault="0000005A" w:rsidP="00BC1378">
      <w:pPr>
        <w:spacing w:line="276" w:lineRule="auto"/>
        <w:rPr>
          <w:rFonts w:asciiTheme="minorHAnsi" w:eastAsiaTheme="minorHAnsi" w:hAnsiTheme="minorHAnsi" w:cstheme="minorHAnsi"/>
          <w:lang w:eastAsia="pl-PL"/>
        </w:rPr>
      </w:pPr>
    </w:p>
    <w:p w14:paraId="2E4D58E1" w14:textId="77777777" w:rsidR="00C755CB" w:rsidRPr="0097520B" w:rsidRDefault="002B3583" w:rsidP="00BC1378">
      <w:pPr>
        <w:pStyle w:val="aboutus"/>
        <w:spacing w:line="276" w:lineRule="auto"/>
        <w:ind w:left="0"/>
        <w:rPr>
          <w:rFonts w:asciiTheme="minorHAnsi" w:hAnsiTheme="minorHAnsi" w:cstheme="minorHAnsi"/>
          <w:sz w:val="24"/>
          <w:szCs w:val="24"/>
        </w:rPr>
      </w:pPr>
      <w:r w:rsidRPr="0097520B">
        <w:rPr>
          <w:rFonts w:asciiTheme="minorHAnsi" w:hAnsiTheme="minorHAnsi" w:cstheme="minorHAnsi"/>
          <w:noProof/>
          <w:sz w:val="24"/>
          <w:szCs w:val="24"/>
        </w:rPr>
        <mc:AlternateContent>
          <mc:Choice Requires="wps">
            <w:drawing>
              <wp:anchor distT="0" distB="0" distL="114300" distR="114300" simplePos="0" relativeHeight="251654144" behindDoc="0" locked="0" layoutInCell="1" allowOverlap="1" wp14:anchorId="268966CE" wp14:editId="0039C09C">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97B70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14:paraId="68578441" w14:textId="77777777" w:rsidR="008A5839" w:rsidRPr="0097520B" w:rsidRDefault="008A5839" w:rsidP="00BC1378">
      <w:pPr>
        <w:pStyle w:val="aboutus"/>
        <w:spacing w:line="276" w:lineRule="auto"/>
        <w:ind w:left="0"/>
        <w:jc w:val="center"/>
        <w:rPr>
          <w:rFonts w:asciiTheme="minorHAnsi" w:hAnsiTheme="minorHAnsi" w:cstheme="minorHAnsi"/>
          <w:sz w:val="24"/>
          <w:szCs w:val="24"/>
        </w:rPr>
      </w:pPr>
      <w:r w:rsidRPr="0097520B">
        <w:rPr>
          <w:rFonts w:asciiTheme="minorHAnsi" w:hAnsiTheme="minorHAnsi" w:cstheme="minorHAnsi"/>
          <w:b w:val="0"/>
          <w:bCs w:val="0"/>
          <w:noProof/>
          <w:sz w:val="24"/>
          <w:szCs w:val="24"/>
        </w:rPr>
        <w:drawing>
          <wp:inline distT="0" distB="0" distL="0" distR="0" wp14:anchorId="429ED6FF" wp14:editId="62AAC290">
            <wp:extent cx="1619250" cy="200025"/>
            <wp:effectExtent l="0" t="0" r="0" b="0"/>
            <wp:docPr id="2" name="Obraz 2" descr="logo_wynagrodzeni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14:paraId="0079ADA0" w14:textId="77777777" w:rsidR="00326667" w:rsidRPr="0097520B" w:rsidRDefault="00EA72FE" w:rsidP="00326667">
      <w:pPr>
        <w:autoSpaceDE w:val="0"/>
        <w:autoSpaceDN w:val="0"/>
        <w:adjustRightInd w:val="0"/>
        <w:spacing w:before="240"/>
        <w:jc w:val="both"/>
        <w:rPr>
          <w:rFonts w:asciiTheme="minorHAnsi" w:eastAsia="Calibri" w:hAnsiTheme="minorHAnsi" w:cstheme="minorHAnsi"/>
          <w:b/>
          <w:lang w:eastAsia="pl-PL"/>
        </w:rPr>
      </w:pPr>
      <w:r w:rsidRPr="0097520B">
        <w:rPr>
          <w:rFonts w:asciiTheme="minorHAnsi" w:eastAsia="Calibri" w:hAnsiTheme="minorHAnsi" w:cstheme="minorHAnsi"/>
          <w:b/>
          <w:lang w:eastAsia="pl-PL"/>
        </w:rPr>
        <w:t>Sedlak &amp; Sedlak wyraża zgodę na publikację niniejszego opracowania pod warunkiem powołania się na źródło: wynagrodzenia.pl oraz zamies</w:t>
      </w:r>
      <w:r w:rsidR="00070AED" w:rsidRPr="0097520B">
        <w:rPr>
          <w:rFonts w:asciiTheme="minorHAnsi" w:eastAsia="Calibri" w:hAnsiTheme="minorHAnsi" w:cstheme="minorHAnsi"/>
          <w:b/>
          <w:lang w:eastAsia="pl-PL"/>
        </w:rPr>
        <w:t xml:space="preserve">zczenie pod artykułem aktywnego </w:t>
      </w:r>
      <w:r w:rsidRPr="0097520B">
        <w:rPr>
          <w:rFonts w:asciiTheme="minorHAnsi" w:eastAsia="Calibri" w:hAnsiTheme="minorHAnsi" w:cstheme="minorHAnsi"/>
          <w:b/>
          <w:lang w:eastAsia="pl-PL"/>
        </w:rPr>
        <w:t xml:space="preserve">linku do strony </w:t>
      </w:r>
      <w:r w:rsidR="00326667" w:rsidRPr="0097520B">
        <w:rPr>
          <w:rFonts w:asciiTheme="minorHAnsi" w:eastAsia="Calibri" w:hAnsiTheme="minorHAnsi" w:cstheme="minorHAnsi"/>
          <w:b/>
          <w:lang w:eastAsia="pl-PL"/>
        </w:rPr>
        <w:t>o wynagrodzeniach menedżerów spółek giełdowych:</w:t>
      </w:r>
      <w:r w:rsidR="00070AED" w:rsidRPr="0097520B">
        <w:rPr>
          <w:rFonts w:asciiTheme="minorHAnsi" w:eastAsia="Calibri" w:hAnsiTheme="minorHAnsi" w:cstheme="minorHAnsi"/>
          <w:b/>
          <w:lang w:eastAsia="pl-PL"/>
        </w:rPr>
        <w:t xml:space="preserve"> </w:t>
      </w:r>
    </w:p>
    <w:p w14:paraId="570677D7" w14:textId="77777777" w:rsidR="00326667" w:rsidRPr="0097520B" w:rsidRDefault="00EA72FE" w:rsidP="00326667">
      <w:pPr>
        <w:autoSpaceDE w:val="0"/>
        <w:autoSpaceDN w:val="0"/>
        <w:adjustRightInd w:val="0"/>
        <w:spacing w:before="240"/>
        <w:jc w:val="both"/>
        <w:rPr>
          <w:rFonts w:asciiTheme="minorHAnsi" w:eastAsia="Calibri" w:hAnsiTheme="minorHAnsi" w:cstheme="minorHAnsi"/>
          <w:b/>
          <w:lang w:eastAsia="pl-PL"/>
        </w:rPr>
      </w:pPr>
      <w:r w:rsidRPr="0097520B">
        <w:rPr>
          <w:rFonts w:asciiTheme="minorHAnsi" w:eastAsia="Calibri" w:hAnsiTheme="minorHAnsi" w:cstheme="minorHAnsi"/>
          <w:b/>
          <w:lang w:eastAsia="pl-PL"/>
        </w:rPr>
        <w:t>(</w:t>
      </w:r>
      <w:hyperlink r:id="rId16" w:history="1">
        <w:r w:rsidR="00326667" w:rsidRPr="0097520B">
          <w:rPr>
            <w:rStyle w:val="Hipercze"/>
            <w:rFonts w:asciiTheme="minorHAnsi" w:hAnsiTheme="minorHAnsi" w:cstheme="minorHAnsi"/>
          </w:rPr>
          <w:t>http://wynagrodzenia.pl/wynagrodzenia-menedzerow</w:t>
        </w:r>
      </w:hyperlink>
      <w:r w:rsidRPr="0097520B">
        <w:rPr>
          <w:rFonts w:asciiTheme="minorHAnsi" w:eastAsia="Calibri" w:hAnsiTheme="minorHAnsi" w:cstheme="minorHAnsi"/>
          <w:b/>
          <w:lang w:eastAsia="pl-PL"/>
        </w:rPr>
        <w:t>)</w:t>
      </w:r>
    </w:p>
    <w:p w14:paraId="2E304D19" w14:textId="77777777" w:rsidR="003974B4" w:rsidRPr="0097520B" w:rsidRDefault="00EA72FE" w:rsidP="00326667">
      <w:pPr>
        <w:autoSpaceDE w:val="0"/>
        <w:autoSpaceDN w:val="0"/>
        <w:adjustRightInd w:val="0"/>
        <w:spacing w:before="240"/>
        <w:jc w:val="both"/>
        <w:rPr>
          <w:rFonts w:asciiTheme="minorHAnsi" w:eastAsia="Calibri" w:hAnsiTheme="minorHAnsi" w:cstheme="minorHAnsi"/>
          <w:b/>
          <w:bCs/>
          <w:color w:val="000000"/>
          <w:lang w:eastAsia="pl-PL"/>
        </w:rPr>
      </w:pPr>
      <w:r w:rsidRPr="0097520B">
        <w:rPr>
          <w:rFonts w:asciiTheme="minorHAnsi" w:eastAsia="Calibri" w:hAnsiTheme="minorHAnsi" w:cstheme="minorHAnsi"/>
          <w:b/>
          <w:lang w:eastAsia="pl-PL"/>
        </w:rPr>
        <w:t xml:space="preserve"> czcionką nie mniejszą niż czcionka użyta w publikacji. </w:t>
      </w:r>
    </w:p>
    <w:sectPr w:rsidR="003974B4" w:rsidRPr="0097520B" w:rsidSect="00E107E8">
      <w:headerReference w:type="default" r:id="rId17"/>
      <w:footerReference w:type="default" r:id="rId18"/>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8ACAC" w14:textId="77777777" w:rsidR="0007162A" w:rsidRDefault="0007162A">
      <w:r>
        <w:separator/>
      </w:r>
    </w:p>
  </w:endnote>
  <w:endnote w:type="continuationSeparator" w:id="0">
    <w:p w14:paraId="1F7E7A73" w14:textId="77777777" w:rsidR="0007162A" w:rsidRDefault="0007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D97A9" w14:textId="77777777" w:rsidR="0007162A" w:rsidRDefault="002B358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14:anchorId="73435504" wp14:editId="7921660C">
              <wp:simplePos x="0" y="0"/>
              <wp:positionH relativeFrom="column">
                <wp:posOffset>-127635</wp:posOffset>
              </wp:positionH>
              <wp:positionV relativeFrom="paragraph">
                <wp:posOffset>-16510</wp:posOffset>
              </wp:positionV>
              <wp:extent cx="635" cy="862965"/>
              <wp:effectExtent l="0" t="0" r="37465" b="1333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20CA94"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14:paraId="280FF0DC" w14:textId="77777777"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14:paraId="0697DFD2" w14:textId="77777777"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6F2F1" w14:textId="77777777" w:rsidR="0007162A" w:rsidRDefault="0007162A">
      <w:r>
        <w:separator/>
      </w:r>
    </w:p>
  </w:footnote>
  <w:footnote w:type="continuationSeparator" w:id="0">
    <w:p w14:paraId="43CA2EC0" w14:textId="77777777" w:rsidR="0007162A" w:rsidRDefault="00071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3A37F" w14:textId="77777777" w:rsidR="0007162A" w:rsidRDefault="0007162A">
    <w:pPr>
      <w:pStyle w:val="Nagwek"/>
    </w:pPr>
    <w:r>
      <w:rPr>
        <w:noProof/>
        <w:lang w:eastAsia="pl-PL"/>
      </w:rPr>
      <w:drawing>
        <wp:anchor distT="0" distB="0" distL="114300" distR="114300" simplePos="0" relativeHeight="251656704" behindDoc="0" locked="0" layoutInCell="1" allowOverlap="1" wp14:anchorId="7A34B08D" wp14:editId="526619BE">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2B3583">
      <w:rPr>
        <w:rFonts w:ascii="Arial" w:hAnsi="Arial" w:cs="Arial"/>
        <w:noProof/>
        <w:color w:val="4F648B"/>
        <w:sz w:val="12"/>
        <w:szCs w:val="12"/>
        <w:lang w:eastAsia="pl-PL"/>
      </w:rPr>
      <mc:AlternateContent>
        <mc:Choice Requires="wps">
          <w:drawing>
            <wp:anchor distT="0" distB="0" distL="114299" distR="114299" simplePos="0" relativeHeight="251658752" behindDoc="0" locked="0" layoutInCell="1" allowOverlap="1" wp14:anchorId="31F66611" wp14:editId="54B65E0F">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A3A338"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6"/>
  </w:num>
  <w:num w:numId="4">
    <w:abstractNumId w:val="11"/>
  </w:num>
  <w:num w:numId="5">
    <w:abstractNumId w:val="8"/>
  </w:num>
  <w:num w:numId="6">
    <w:abstractNumId w:val="19"/>
  </w:num>
  <w:num w:numId="7">
    <w:abstractNumId w:val="17"/>
  </w:num>
  <w:num w:numId="8">
    <w:abstractNumId w:val="5"/>
  </w:num>
  <w:num w:numId="9">
    <w:abstractNumId w:val="0"/>
  </w:num>
  <w:num w:numId="10">
    <w:abstractNumId w:val="4"/>
  </w:num>
  <w:num w:numId="11">
    <w:abstractNumId w:val="14"/>
  </w:num>
  <w:num w:numId="12">
    <w:abstractNumId w:val="10"/>
  </w:num>
  <w:num w:numId="13">
    <w:abstractNumId w:val="1"/>
  </w:num>
  <w:num w:numId="14">
    <w:abstractNumId w:val="2"/>
  </w:num>
  <w:num w:numId="15">
    <w:abstractNumId w:val="15"/>
  </w:num>
  <w:num w:numId="16">
    <w:abstractNumId w:val="9"/>
  </w:num>
  <w:num w:numId="17">
    <w:abstractNumId w:val="18"/>
  </w:num>
  <w:num w:numId="18">
    <w:abstractNumId w:val="12"/>
  </w:num>
  <w:num w:numId="19">
    <w:abstractNumId w:val="1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7937"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812"/>
    <w:rsid w:val="0000005A"/>
    <w:rsid w:val="00000F26"/>
    <w:rsid w:val="0000157E"/>
    <w:rsid w:val="00011D89"/>
    <w:rsid w:val="00011F76"/>
    <w:rsid w:val="00013B3F"/>
    <w:rsid w:val="00017379"/>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1D6"/>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16A20"/>
    <w:rsid w:val="002209F7"/>
    <w:rsid w:val="00224816"/>
    <w:rsid w:val="00227337"/>
    <w:rsid w:val="00233678"/>
    <w:rsid w:val="00236190"/>
    <w:rsid w:val="0024085C"/>
    <w:rsid w:val="00246164"/>
    <w:rsid w:val="0024643F"/>
    <w:rsid w:val="0024733C"/>
    <w:rsid w:val="002511D5"/>
    <w:rsid w:val="00251B52"/>
    <w:rsid w:val="00251BF1"/>
    <w:rsid w:val="0025325F"/>
    <w:rsid w:val="00253DFE"/>
    <w:rsid w:val="00253FD1"/>
    <w:rsid w:val="00254A61"/>
    <w:rsid w:val="002620E3"/>
    <w:rsid w:val="002758F1"/>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D74D8"/>
    <w:rsid w:val="002E18BF"/>
    <w:rsid w:val="002F18B2"/>
    <w:rsid w:val="002F52E5"/>
    <w:rsid w:val="002F7E8A"/>
    <w:rsid w:val="00303FFA"/>
    <w:rsid w:val="003133CE"/>
    <w:rsid w:val="00313A17"/>
    <w:rsid w:val="00313B7F"/>
    <w:rsid w:val="00314697"/>
    <w:rsid w:val="0032183C"/>
    <w:rsid w:val="00325771"/>
    <w:rsid w:val="00326667"/>
    <w:rsid w:val="0033554D"/>
    <w:rsid w:val="00336B92"/>
    <w:rsid w:val="00340A66"/>
    <w:rsid w:val="003429B3"/>
    <w:rsid w:val="003444E1"/>
    <w:rsid w:val="0034458E"/>
    <w:rsid w:val="00346738"/>
    <w:rsid w:val="00353B31"/>
    <w:rsid w:val="00354444"/>
    <w:rsid w:val="0036020E"/>
    <w:rsid w:val="00363197"/>
    <w:rsid w:val="0037333D"/>
    <w:rsid w:val="00374BE4"/>
    <w:rsid w:val="0037652C"/>
    <w:rsid w:val="003777A1"/>
    <w:rsid w:val="003866A1"/>
    <w:rsid w:val="00387A68"/>
    <w:rsid w:val="00387BF1"/>
    <w:rsid w:val="00392543"/>
    <w:rsid w:val="00395CCB"/>
    <w:rsid w:val="003974B4"/>
    <w:rsid w:val="003A3EBA"/>
    <w:rsid w:val="003A443A"/>
    <w:rsid w:val="003A73F1"/>
    <w:rsid w:val="003B1BE0"/>
    <w:rsid w:val="003B35F2"/>
    <w:rsid w:val="003B5D5E"/>
    <w:rsid w:val="003C1054"/>
    <w:rsid w:val="003C5113"/>
    <w:rsid w:val="003C54DE"/>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5078F7"/>
    <w:rsid w:val="005111D8"/>
    <w:rsid w:val="00514744"/>
    <w:rsid w:val="00526EBB"/>
    <w:rsid w:val="0052750E"/>
    <w:rsid w:val="005316C8"/>
    <w:rsid w:val="00537F5A"/>
    <w:rsid w:val="00545D3A"/>
    <w:rsid w:val="005463F9"/>
    <w:rsid w:val="00552191"/>
    <w:rsid w:val="0057587E"/>
    <w:rsid w:val="00582349"/>
    <w:rsid w:val="00582F2E"/>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40874"/>
    <w:rsid w:val="0064290F"/>
    <w:rsid w:val="0064418A"/>
    <w:rsid w:val="00644723"/>
    <w:rsid w:val="006470E5"/>
    <w:rsid w:val="00657E85"/>
    <w:rsid w:val="00662A81"/>
    <w:rsid w:val="0066353F"/>
    <w:rsid w:val="00670A17"/>
    <w:rsid w:val="0067729F"/>
    <w:rsid w:val="006812B2"/>
    <w:rsid w:val="00681531"/>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520B"/>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551A3"/>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E51D1"/>
    <w:rsid w:val="00DF4FAF"/>
    <w:rsid w:val="00DF6CF5"/>
    <w:rsid w:val="00DF70A4"/>
    <w:rsid w:val="00E046DB"/>
    <w:rsid w:val="00E107E8"/>
    <w:rsid w:val="00E141CB"/>
    <w:rsid w:val="00E21303"/>
    <w:rsid w:val="00E21387"/>
    <w:rsid w:val="00E31334"/>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5544"/>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B796D"/>
    <w:rsid w:val="00FC1A04"/>
    <w:rsid w:val="00FC1D1B"/>
    <w:rsid w:val="00FC3086"/>
    <w:rsid w:val="00FC39FC"/>
    <w:rsid w:val="00FC64F6"/>
    <w:rsid w:val="00FC77D0"/>
    <w:rsid w:val="00FD623A"/>
    <w:rsid w:val="00FD6D06"/>
    <w:rsid w:val="00FF2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7937" strokecolor="#54628d">
      <v:stroke color="#54628d" weight="1.5pt"/>
      <o:colormru v:ext="edit" colors="#e2aa1e"/>
    </o:shapedefaults>
    <o:shapelayout v:ext="edit">
      <o:idmap v:ext="edit" data="1"/>
    </o:shapelayout>
  </w:shapeDefaults>
  <w:decimalSymbol w:val=","/>
  <w:listSeparator w:val=";"/>
  <w14:docId w14:val="0E587B06"/>
  <w15:docId w15:val="{76EC3185-684F-4078-BC04-A63CE43F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agwek2"/>
    <w:next w:val="Normalny"/>
    <w:qFormat/>
    <w:rsid w:val="0097520B"/>
    <w:pPr>
      <w:jc w:val="left"/>
      <w:outlineLvl w:val="2"/>
    </w:pPr>
    <w:rPr>
      <w:rFonts w:asciiTheme="minorHAnsi" w:hAnsiTheme="minorHAnsi" w:cstheme="minorHAnsi"/>
      <w:color w:val="1F497D" w:themeColor="text2"/>
      <w:sz w:val="26"/>
      <w:szCs w:val="26"/>
      <w:lang w:val="pl-PL"/>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3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1061D6"/>
  </w:style>
  <w:style w:type="character" w:customStyle="1" w:styleId="small">
    <w:name w:val="small"/>
    <w:basedOn w:val="Domylnaczcionkaakapitu"/>
    <w:rsid w:val="001061D6"/>
  </w:style>
  <w:style w:type="character" w:styleId="Nierozpoznanawzmianka">
    <w:name w:val="Unresolved Mention"/>
    <w:basedOn w:val="Domylnaczcionkaakapitu"/>
    <w:uiPriority w:val="99"/>
    <w:semiHidden/>
    <w:unhideWhenUsed/>
    <w:rsid w:val="009752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ynagrodzenia.pl/wynagrodzenia-menedzero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kowacz@sedlak.pl" TargetMode="External"/><Relationship Id="rId14" Type="http://schemas.openxmlformats.org/officeDocument/2006/relationships/hyperlink" Target="http://www.wynagrodzeni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oleObject" Target="file:///\\sassrvdc03\Krakow-Jadwigi\mened&#380;erowie\Niejawny\Raporty%20Gie&#322;dowe\za%202019\Raport%20programy\Baza2019.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sassrvdc03\Krakow-Jadwigi\mened&#380;erowie\Niejawny\Raporty%20Gie&#322;dowe\za%202019\Raport%20programy\Baza2019.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sassrvdc03\Krakow-Jadwigi\mened&#380;erowie\Niejawny\Raporty%20Gie&#322;dowe\za%202019\Raport%20programy\Baza2019.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sassrvdc03\Krakow-Jadwigi\mened&#380;erowie\Niejawny\Raporty%20Gie&#322;dowe\za%202019\Baza2019.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flip="none" rotWithShape="1">
              <a:gsLst>
                <a:gs pos="0">
                  <a:srgbClr val="4472C4">
                    <a:lumMod val="60000"/>
                    <a:lumOff val="40000"/>
                  </a:srgbClr>
                </a:gs>
                <a:gs pos="100000">
                  <a:srgbClr val="4472C4">
                    <a:lumMod val="40000"/>
                    <a:lumOff val="60000"/>
                  </a:srgbClr>
                </a:gs>
              </a:gsLst>
              <a:lin ang="16200000" scaled="1"/>
              <a:tileRect/>
            </a:gradFill>
          </c:spPr>
          <c:invertIfNegative val="0"/>
          <c:dPt>
            <c:idx val="0"/>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1-205C-4A87-8113-804789D5D638}"/>
              </c:ext>
            </c:extLst>
          </c:dPt>
          <c:dPt>
            <c:idx val="1"/>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3-205C-4A87-8113-804789D5D638}"/>
              </c:ext>
            </c:extLst>
          </c:dPt>
          <c:dPt>
            <c:idx val="2"/>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5-205C-4A87-8113-804789D5D638}"/>
              </c:ext>
            </c:extLst>
          </c:dPt>
          <c:dPt>
            <c:idx val="3"/>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7-205C-4A87-8113-804789D5D638}"/>
              </c:ext>
            </c:extLst>
          </c:dPt>
          <c:dPt>
            <c:idx val="4"/>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9-205C-4A87-8113-804789D5D638}"/>
              </c:ext>
            </c:extLst>
          </c:dPt>
          <c:dPt>
            <c:idx val="5"/>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B-205C-4A87-8113-804789D5D638}"/>
              </c:ext>
            </c:extLst>
          </c:dPt>
          <c:dPt>
            <c:idx val="13"/>
            <c:invertIfNegative val="0"/>
            <c:bubble3D val="0"/>
            <c:extLst>
              <c:ext xmlns:c16="http://schemas.microsoft.com/office/drawing/2014/chart" uri="{C3380CC4-5D6E-409C-BE32-E72D297353CC}">
                <c16:uniqueId val="{0000000C-205C-4A87-8113-804789D5D638}"/>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50000"/>
                        <a:lumOff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'do kogo, co'!$H$4:$H$8</c:f>
              <c:strCache>
                <c:ptCount val="5"/>
                <c:pt idx="0">
                  <c:v>zarząd 
i pracownicy</c:v>
                </c:pt>
                <c:pt idx="1">
                  <c:v>zarząd</c:v>
                </c:pt>
                <c:pt idx="2">
                  <c:v>prezes zarządu</c:v>
                </c:pt>
                <c:pt idx="3">
                  <c:v>pracownicy</c:v>
                </c:pt>
                <c:pt idx="4">
                  <c:v>zarząd 
i rada nadzorcza</c:v>
                </c:pt>
              </c:strCache>
            </c:strRef>
          </c:cat>
          <c:val>
            <c:numRef>
              <c:f>'do kogo, co'!$I$4:$I$8</c:f>
              <c:numCache>
                <c:formatCode>General</c:formatCode>
                <c:ptCount val="5"/>
                <c:pt idx="0">
                  <c:v>41</c:v>
                </c:pt>
                <c:pt idx="1">
                  <c:v>3</c:v>
                </c:pt>
                <c:pt idx="2">
                  <c:v>3</c:v>
                </c:pt>
                <c:pt idx="3">
                  <c:v>3</c:v>
                </c:pt>
                <c:pt idx="4">
                  <c:v>1</c:v>
                </c:pt>
              </c:numCache>
            </c:numRef>
          </c:val>
          <c:extLst>
            <c:ext xmlns:c16="http://schemas.microsoft.com/office/drawing/2014/chart" uri="{C3380CC4-5D6E-409C-BE32-E72D297353CC}">
              <c16:uniqueId val="{0000000D-205C-4A87-8113-804789D5D638}"/>
            </c:ext>
          </c:extLst>
        </c:ser>
        <c:dLbls>
          <c:showLegendKey val="0"/>
          <c:showVal val="0"/>
          <c:showCatName val="0"/>
          <c:showSerName val="0"/>
          <c:showPercent val="0"/>
          <c:showBubbleSize val="0"/>
        </c:dLbls>
        <c:gapWidth val="164"/>
        <c:overlap val="-47"/>
        <c:axId val="83399808"/>
        <c:axId val="134709632"/>
      </c:barChart>
      <c:catAx>
        <c:axId val="83399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mn-lt"/>
                <a:ea typeface="+mn-ea"/>
                <a:cs typeface="+mn-cs"/>
              </a:defRPr>
            </a:pPr>
            <a:endParaRPr lang="pl-PL"/>
          </a:p>
        </c:txPr>
        <c:crossAx val="134709632"/>
        <c:crosses val="autoZero"/>
        <c:auto val="1"/>
        <c:lblAlgn val="ctr"/>
        <c:lblOffset val="100"/>
        <c:noMultiLvlLbl val="0"/>
      </c:catAx>
      <c:valAx>
        <c:axId val="13470963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mn-lt"/>
                <a:ea typeface="+mn-ea"/>
                <a:cs typeface="+mn-cs"/>
              </a:defRPr>
            </a:pPr>
            <a:endParaRPr lang="pl-PL"/>
          </a:p>
        </c:txPr>
        <c:crossAx val="83399808"/>
        <c:crosses val="autoZero"/>
        <c:crossBetween val="between"/>
      </c:valAx>
      <c:spPr>
        <a:pattFill prst="pct5">
          <a:fgClr>
            <a:sysClr val="window" lastClr="FFFFFF">
              <a:lumMod val="95000"/>
            </a:sysClr>
          </a:fgClr>
          <a:bgClr>
            <a:sysClr val="window" lastClr="FFFFFF"/>
          </a:bgClr>
        </a:pattFill>
        <a:ln>
          <a:noFill/>
        </a:ln>
        <a:effectLst/>
      </c:spPr>
    </c:plotArea>
    <c:plotVisOnly val="1"/>
    <c:dispBlanksAs val="gap"/>
    <c:showDLblsOverMax val="0"/>
    <c:extLst/>
  </c:chart>
  <c:spPr>
    <a:solidFill>
      <a:schemeClr val="bg1"/>
    </a:solidFill>
    <a:ln w="9525" cap="flat" cmpd="sng" algn="ctr">
      <a:noFill/>
      <a:round/>
    </a:ln>
    <a:effectLst/>
  </c:spPr>
  <c:txPr>
    <a:bodyPr/>
    <a:lstStyle/>
    <a:p>
      <a:pPr>
        <a:defRPr/>
      </a:pPr>
      <a:endParaRPr lang="pl-PL"/>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a:gsLst>
                <a:gs pos="0">
                  <a:srgbClr val="E84A5F"/>
                </a:gs>
                <a:gs pos="100000">
                  <a:srgbClr val="FF847B"/>
                </a:gs>
              </a:gsLst>
              <a:lin ang="16200000" scaled="1"/>
            </a:gradFill>
            <a:ln w="9525" cap="flat" cmpd="sng" algn="ctr">
              <a:noFill/>
              <a:round/>
            </a:ln>
            <a:effectLst>
              <a:outerShdw blurRad="40000" dist="20000" dir="5400000" rotWithShape="0">
                <a:srgbClr val="000000">
                  <a:alpha val="38000"/>
                </a:srgbClr>
              </a:outerShdw>
            </a:effectLst>
          </c:spPr>
          <c:invertIfNegative val="0"/>
          <c:dPt>
            <c:idx val="0"/>
            <c:invertIfNegative val="0"/>
            <c:bubble3D val="0"/>
            <c:spPr>
              <a:gradFill>
                <a:gsLst>
                  <a:gs pos="0">
                    <a:sysClr val="window" lastClr="FFFFFF">
                      <a:lumMod val="50000"/>
                    </a:sysClr>
                  </a:gs>
                  <a:gs pos="100000">
                    <a:sysClr val="window" lastClr="FFFFFF">
                      <a:lumMod val="65000"/>
                    </a:sysClr>
                  </a:gs>
                </a:gsLst>
                <a:lin ang="16200000" scaled="1"/>
              </a:gradFill>
              <a:ln w="9525" cap="flat" cmpd="sng" algn="ctr">
                <a:no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1-0E77-4698-AD65-9BEF17C752CB}"/>
              </c:ext>
            </c:extLst>
          </c:dPt>
          <c:dPt>
            <c:idx val="1"/>
            <c:invertIfNegative val="0"/>
            <c:bubble3D val="0"/>
            <c:spPr>
              <a:gradFill>
                <a:gsLst>
                  <a:gs pos="0">
                    <a:sysClr val="window" lastClr="FFFFFF">
                      <a:lumMod val="50000"/>
                    </a:sysClr>
                  </a:gs>
                  <a:gs pos="100000">
                    <a:sysClr val="window" lastClr="FFFFFF">
                      <a:lumMod val="65000"/>
                    </a:sysClr>
                  </a:gs>
                </a:gsLst>
                <a:lin ang="16200000" scaled="1"/>
              </a:gradFill>
              <a:ln w="9525" cap="flat" cmpd="sng" algn="ctr">
                <a:no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3-0E77-4698-AD65-9BEF17C752CB}"/>
              </c:ext>
            </c:extLst>
          </c:dPt>
          <c:dPt>
            <c:idx val="2"/>
            <c:invertIfNegative val="0"/>
            <c:bubble3D val="0"/>
            <c:spPr>
              <a:gradFill>
                <a:gsLst>
                  <a:gs pos="0">
                    <a:sysClr val="window" lastClr="FFFFFF">
                      <a:lumMod val="50000"/>
                    </a:sysClr>
                  </a:gs>
                  <a:gs pos="100000">
                    <a:sysClr val="window" lastClr="FFFFFF">
                      <a:lumMod val="65000"/>
                    </a:sysClr>
                  </a:gs>
                </a:gsLst>
                <a:lin ang="16200000" scaled="1"/>
              </a:gradFill>
              <a:ln w="9525" cap="flat" cmpd="sng" algn="ctr">
                <a:no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5-0E77-4698-AD65-9BEF17C752CB}"/>
              </c:ext>
            </c:extLst>
          </c:dPt>
          <c:dPt>
            <c:idx val="3"/>
            <c:invertIfNegative val="0"/>
            <c:bubble3D val="0"/>
            <c:spPr>
              <a:gradFill>
                <a:gsLst>
                  <a:gs pos="0">
                    <a:sysClr val="window" lastClr="FFFFFF">
                      <a:lumMod val="50000"/>
                    </a:sysClr>
                  </a:gs>
                  <a:gs pos="100000">
                    <a:sysClr val="window" lastClr="FFFFFF">
                      <a:lumMod val="65000"/>
                    </a:sysClr>
                  </a:gs>
                </a:gsLst>
                <a:lin ang="16200000" scaled="1"/>
              </a:gradFill>
              <a:ln w="9525" cap="flat" cmpd="sng" algn="ctr">
                <a:no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7-0E77-4698-AD65-9BEF17C752CB}"/>
              </c:ext>
            </c:extLst>
          </c:dPt>
          <c:dPt>
            <c:idx val="4"/>
            <c:invertIfNegative val="0"/>
            <c:bubble3D val="0"/>
            <c:spPr>
              <a:gradFill>
                <a:gsLst>
                  <a:gs pos="0">
                    <a:sysClr val="window" lastClr="FFFFFF">
                      <a:lumMod val="50000"/>
                    </a:sysClr>
                  </a:gs>
                  <a:gs pos="100000">
                    <a:sysClr val="window" lastClr="FFFFFF">
                      <a:lumMod val="65000"/>
                    </a:sysClr>
                  </a:gs>
                </a:gsLst>
                <a:lin ang="16200000" scaled="1"/>
              </a:gradFill>
              <a:ln w="9525" cap="flat" cmpd="sng" algn="ctr">
                <a:no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9-0E77-4698-AD65-9BEF17C752CB}"/>
              </c:ext>
            </c:extLst>
          </c:dPt>
          <c:dPt>
            <c:idx val="13"/>
            <c:invertIfNegative val="0"/>
            <c:bubble3D val="0"/>
            <c:extLst>
              <c:ext xmlns:c16="http://schemas.microsoft.com/office/drawing/2014/chart" uri="{C3380CC4-5D6E-409C-BE32-E72D297353CC}">
                <c16:uniqueId val="{0000000A-0E77-4698-AD65-9BEF17C752CB}"/>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50000"/>
                        <a:lumOff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'do kogo, co'!$Q$4:$Q$8</c:f>
              <c:strCache>
                <c:ptCount val="5"/>
                <c:pt idx="0">
                  <c:v>warranty subskrypcyjne</c:v>
                </c:pt>
                <c:pt idx="1">
                  <c:v>opcje</c:v>
                </c:pt>
                <c:pt idx="2">
                  <c:v>akcje</c:v>
                </c:pt>
                <c:pt idx="3">
                  <c:v>akcje fantomowe</c:v>
                </c:pt>
                <c:pt idx="4">
                  <c:v>prawa do akcji</c:v>
                </c:pt>
              </c:strCache>
            </c:strRef>
          </c:cat>
          <c:val>
            <c:numRef>
              <c:f>'do kogo, co'!$R$4:$R$8</c:f>
              <c:numCache>
                <c:formatCode>General</c:formatCode>
                <c:ptCount val="5"/>
                <c:pt idx="0">
                  <c:v>38</c:v>
                </c:pt>
                <c:pt idx="1">
                  <c:v>6</c:v>
                </c:pt>
                <c:pt idx="2">
                  <c:v>5</c:v>
                </c:pt>
                <c:pt idx="3">
                  <c:v>1</c:v>
                </c:pt>
                <c:pt idx="4">
                  <c:v>1</c:v>
                </c:pt>
              </c:numCache>
            </c:numRef>
          </c:val>
          <c:extLst>
            <c:ext xmlns:c16="http://schemas.microsoft.com/office/drawing/2014/chart" uri="{C3380CC4-5D6E-409C-BE32-E72D297353CC}">
              <c16:uniqueId val="{0000000B-0E77-4698-AD65-9BEF17C752CB}"/>
            </c:ext>
          </c:extLst>
        </c:ser>
        <c:dLbls>
          <c:showLegendKey val="0"/>
          <c:showVal val="0"/>
          <c:showCatName val="0"/>
          <c:showSerName val="0"/>
          <c:showPercent val="0"/>
          <c:showBubbleSize val="0"/>
        </c:dLbls>
        <c:gapWidth val="210"/>
        <c:overlap val="-37"/>
        <c:axId val="81521280"/>
        <c:axId val="81547648"/>
      </c:barChart>
      <c:catAx>
        <c:axId val="81521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mn-lt"/>
                <a:ea typeface="+mn-ea"/>
                <a:cs typeface="+mn-cs"/>
              </a:defRPr>
            </a:pPr>
            <a:endParaRPr lang="pl-PL"/>
          </a:p>
        </c:txPr>
        <c:crossAx val="81547648"/>
        <c:crosses val="autoZero"/>
        <c:auto val="1"/>
        <c:lblAlgn val="ctr"/>
        <c:lblOffset val="100"/>
        <c:noMultiLvlLbl val="0"/>
      </c:catAx>
      <c:valAx>
        <c:axId val="8154764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mn-lt"/>
                <a:ea typeface="+mn-ea"/>
                <a:cs typeface="+mn-cs"/>
              </a:defRPr>
            </a:pPr>
            <a:endParaRPr lang="pl-PL"/>
          </a:p>
        </c:txPr>
        <c:crossAx val="81521280"/>
        <c:crosses val="autoZero"/>
        <c:crossBetween val="between"/>
      </c:valAx>
      <c:spPr>
        <a:pattFill prst="pct5">
          <a:fgClr>
            <a:sysClr val="window" lastClr="FFFFFF">
              <a:lumMod val="95000"/>
            </a:sysClr>
          </a:fgClr>
          <a:bgClr>
            <a:sysClr val="window" lastClr="FFFFFF"/>
          </a:bgClr>
        </a:pattFill>
        <a:ln>
          <a:noFill/>
        </a:ln>
        <a:effectLst/>
      </c:spPr>
    </c:plotArea>
    <c:plotVisOnly val="1"/>
    <c:dispBlanksAs val="gap"/>
    <c:showDLblsOverMax val="0"/>
    <c:extLst/>
  </c:chart>
  <c:spPr>
    <a:solidFill>
      <a:schemeClr val="bg1"/>
    </a:solidFill>
    <a:ln w="9525" cap="flat" cmpd="sng" algn="ctr">
      <a:noFill/>
      <a:round/>
    </a:ln>
    <a:effectLst/>
  </c:spPr>
  <c:txPr>
    <a:bodyPr/>
    <a:lstStyle/>
    <a:p>
      <a:pPr>
        <a:defRPr/>
      </a:pPr>
      <a:endParaRPr lang="pl-PL"/>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flip="none" rotWithShape="1">
              <a:gsLst>
                <a:gs pos="0">
                  <a:srgbClr val="4472C4">
                    <a:lumMod val="60000"/>
                    <a:lumOff val="40000"/>
                  </a:srgbClr>
                </a:gs>
                <a:gs pos="100000">
                  <a:srgbClr val="4472C4">
                    <a:lumMod val="40000"/>
                    <a:lumOff val="60000"/>
                  </a:srgbClr>
                </a:gs>
              </a:gsLst>
              <a:lin ang="16200000" scaled="1"/>
              <a:tileRect/>
            </a:gradFill>
          </c:spPr>
          <c:invertIfNegative val="0"/>
          <c:dPt>
            <c:idx val="0"/>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1-78CF-4F43-8FD9-4EA416FAD0B2}"/>
              </c:ext>
            </c:extLst>
          </c:dPt>
          <c:dPt>
            <c:idx val="1"/>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3-78CF-4F43-8FD9-4EA416FAD0B2}"/>
              </c:ext>
            </c:extLst>
          </c:dPt>
          <c:dPt>
            <c:idx val="2"/>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5-78CF-4F43-8FD9-4EA416FAD0B2}"/>
              </c:ext>
            </c:extLst>
          </c:dPt>
          <c:dPt>
            <c:idx val="3"/>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7-78CF-4F43-8FD9-4EA416FAD0B2}"/>
              </c:ext>
            </c:extLst>
          </c:dPt>
          <c:dPt>
            <c:idx val="4"/>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9-78CF-4F43-8FD9-4EA416FAD0B2}"/>
              </c:ext>
            </c:extLst>
          </c:dPt>
          <c:dPt>
            <c:idx val="5"/>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B-78CF-4F43-8FD9-4EA416FAD0B2}"/>
              </c:ext>
            </c:extLst>
          </c:dPt>
          <c:dPt>
            <c:idx val="6"/>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D-78CF-4F43-8FD9-4EA416FAD0B2}"/>
              </c:ext>
            </c:extLst>
          </c:dPt>
          <c:dPt>
            <c:idx val="7"/>
            <c:invertIfNegative val="0"/>
            <c:bubble3D val="0"/>
            <c:spPr>
              <a:gradFill flip="none" rotWithShape="1">
                <a:gsLst>
                  <a:gs pos="0">
                    <a:srgbClr val="E84A5F"/>
                  </a:gs>
                  <a:gs pos="100000">
                    <a:srgbClr val="FF847B"/>
                  </a:gs>
                </a:gsLst>
                <a:lin ang="16200000" scaled="1"/>
                <a:tileRect/>
              </a:gradFill>
            </c:spPr>
            <c:extLst>
              <c:ext xmlns:c16="http://schemas.microsoft.com/office/drawing/2014/chart" uri="{C3380CC4-5D6E-409C-BE32-E72D297353CC}">
                <c16:uniqueId val="{0000000F-78CF-4F43-8FD9-4EA416FAD0B2}"/>
              </c:ext>
            </c:extLst>
          </c:dPt>
          <c:dPt>
            <c:idx val="13"/>
            <c:invertIfNegative val="0"/>
            <c:bubble3D val="0"/>
            <c:extLst>
              <c:ext xmlns:c16="http://schemas.microsoft.com/office/drawing/2014/chart" uri="{C3380CC4-5D6E-409C-BE32-E72D297353CC}">
                <c16:uniqueId val="{00000010-78CF-4F43-8FD9-4EA416FAD0B2}"/>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50000"/>
                        <a:lumOff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'czasy trwania'!$E$4:$E$11</c:f>
              <c:strCache>
                <c:ptCount val="8"/>
                <c:pt idx="0">
                  <c:v>1 rok</c:v>
                </c:pt>
                <c:pt idx="1">
                  <c:v>2 lata</c:v>
                </c:pt>
                <c:pt idx="2">
                  <c:v>3 lata</c:v>
                </c:pt>
                <c:pt idx="3">
                  <c:v>4 lata</c:v>
                </c:pt>
                <c:pt idx="4">
                  <c:v>5 lat</c:v>
                </c:pt>
                <c:pt idx="5">
                  <c:v>6 lat</c:v>
                </c:pt>
                <c:pt idx="6">
                  <c:v>8 lat</c:v>
                </c:pt>
                <c:pt idx="7">
                  <c:v>BD</c:v>
                </c:pt>
              </c:strCache>
            </c:strRef>
          </c:cat>
          <c:val>
            <c:numRef>
              <c:f>'czasy trwania'!$F$4:$F$11</c:f>
              <c:numCache>
                <c:formatCode>General</c:formatCode>
                <c:ptCount val="8"/>
                <c:pt idx="0">
                  <c:v>1</c:v>
                </c:pt>
                <c:pt idx="1">
                  <c:v>2</c:v>
                </c:pt>
                <c:pt idx="2">
                  <c:v>26</c:v>
                </c:pt>
                <c:pt idx="3">
                  <c:v>8</c:v>
                </c:pt>
                <c:pt idx="4">
                  <c:v>4</c:v>
                </c:pt>
                <c:pt idx="5">
                  <c:v>3</c:v>
                </c:pt>
                <c:pt idx="6">
                  <c:v>2</c:v>
                </c:pt>
                <c:pt idx="7">
                  <c:v>5</c:v>
                </c:pt>
              </c:numCache>
            </c:numRef>
          </c:val>
          <c:extLst>
            <c:ext xmlns:c16="http://schemas.microsoft.com/office/drawing/2014/chart" uri="{C3380CC4-5D6E-409C-BE32-E72D297353CC}">
              <c16:uniqueId val="{00000011-78CF-4F43-8FD9-4EA416FAD0B2}"/>
            </c:ext>
          </c:extLst>
        </c:ser>
        <c:dLbls>
          <c:showLegendKey val="0"/>
          <c:showVal val="0"/>
          <c:showCatName val="0"/>
          <c:showSerName val="0"/>
          <c:showPercent val="0"/>
          <c:showBubbleSize val="0"/>
        </c:dLbls>
        <c:gapWidth val="164"/>
        <c:overlap val="-47"/>
        <c:axId val="83399808"/>
        <c:axId val="134709632"/>
      </c:barChart>
      <c:catAx>
        <c:axId val="83399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mn-lt"/>
                <a:ea typeface="+mn-ea"/>
                <a:cs typeface="+mn-cs"/>
              </a:defRPr>
            </a:pPr>
            <a:endParaRPr lang="pl-PL"/>
          </a:p>
        </c:txPr>
        <c:crossAx val="134709632"/>
        <c:crosses val="autoZero"/>
        <c:auto val="1"/>
        <c:lblAlgn val="ctr"/>
        <c:lblOffset val="100"/>
        <c:noMultiLvlLbl val="0"/>
      </c:catAx>
      <c:valAx>
        <c:axId val="13470963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mn-lt"/>
                <a:ea typeface="+mn-ea"/>
                <a:cs typeface="+mn-cs"/>
              </a:defRPr>
            </a:pPr>
            <a:endParaRPr lang="pl-PL"/>
          </a:p>
        </c:txPr>
        <c:crossAx val="83399808"/>
        <c:crosses val="autoZero"/>
        <c:crossBetween val="between"/>
      </c:valAx>
      <c:spPr>
        <a:pattFill prst="pct5">
          <a:fgClr>
            <a:sysClr val="window" lastClr="FFFFFF">
              <a:lumMod val="95000"/>
            </a:sysClr>
          </a:fgClr>
          <a:bgClr>
            <a:sysClr val="window" lastClr="FFFFFF"/>
          </a:bgClr>
        </a:pattFill>
        <a:ln>
          <a:noFill/>
        </a:ln>
        <a:effectLst/>
      </c:spPr>
    </c:plotArea>
    <c:plotVisOnly val="1"/>
    <c:dispBlanksAs val="gap"/>
    <c:showDLblsOverMax val="0"/>
    <c:extLst/>
  </c:chart>
  <c:spPr>
    <a:solidFill>
      <a:schemeClr val="bg1"/>
    </a:solidFill>
    <a:ln w="9525" cap="flat" cmpd="sng" algn="ctr">
      <a:noFill/>
      <a:round/>
    </a:ln>
    <a:effectLst/>
  </c:spPr>
  <c:txPr>
    <a:bodyPr/>
    <a:lstStyle/>
    <a:p>
      <a:pPr>
        <a:defRPr/>
      </a:pPr>
      <a:endParaRPr lang="pl-PL"/>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a:gsLst>
                <a:gs pos="0">
                  <a:srgbClr val="E7E6E6">
                    <a:lumMod val="50000"/>
                  </a:srgbClr>
                </a:gs>
                <a:gs pos="100000">
                  <a:srgbClr val="E7E6E6">
                    <a:lumMod val="75000"/>
                  </a:srgbClr>
                </a:gs>
              </a:gsLst>
              <a:lin ang="16200000" scaled="1"/>
            </a:gradFill>
            <a:ln w="9525" cap="flat" cmpd="sng" algn="ctr">
              <a:noFill/>
              <a:round/>
            </a:ln>
            <a:effectLst>
              <a:outerShdw blurRad="40000" dist="20000" dir="5400000" rotWithShape="0">
                <a:srgbClr val="000000">
                  <a:alpha val="38000"/>
                </a:srgbClr>
              </a:outerShdw>
            </a:effectLst>
          </c:spPr>
          <c:invertIfNegative val="0"/>
          <c:dPt>
            <c:idx val="0"/>
            <c:invertIfNegative val="0"/>
            <c:bubble3D val="0"/>
            <c:extLst>
              <c:ext xmlns:c16="http://schemas.microsoft.com/office/drawing/2014/chart" uri="{C3380CC4-5D6E-409C-BE32-E72D297353CC}">
                <c16:uniqueId val="{00000000-1369-4ADC-A51C-44C76BEB3446}"/>
              </c:ext>
            </c:extLst>
          </c:dPt>
          <c:dPt>
            <c:idx val="1"/>
            <c:invertIfNegative val="0"/>
            <c:bubble3D val="0"/>
            <c:extLst>
              <c:ext xmlns:c16="http://schemas.microsoft.com/office/drawing/2014/chart" uri="{C3380CC4-5D6E-409C-BE32-E72D297353CC}">
                <c16:uniqueId val="{00000001-1369-4ADC-A51C-44C76BEB3446}"/>
              </c:ext>
            </c:extLst>
          </c:dPt>
          <c:dPt>
            <c:idx val="2"/>
            <c:invertIfNegative val="0"/>
            <c:bubble3D val="0"/>
            <c:extLst>
              <c:ext xmlns:c16="http://schemas.microsoft.com/office/drawing/2014/chart" uri="{C3380CC4-5D6E-409C-BE32-E72D297353CC}">
                <c16:uniqueId val="{00000002-1369-4ADC-A51C-44C76BEB3446}"/>
              </c:ext>
            </c:extLst>
          </c:dPt>
          <c:dPt>
            <c:idx val="3"/>
            <c:invertIfNegative val="0"/>
            <c:bubble3D val="0"/>
            <c:extLst>
              <c:ext xmlns:c16="http://schemas.microsoft.com/office/drawing/2014/chart" uri="{C3380CC4-5D6E-409C-BE32-E72D297353CC}">
                <c16:uniqueId val="{00000003-1369-4ADC-A51C-44C76BEB3446}"/>
              </c:ext>
            </c:extLst>
          </c:dPt>
          <c:dPt>
            <c:idx val="4"/>
            <c:invertIfNegative val="0"/>
            <c:bubble3D val="0"/>
            <c:extLst>
              <c:ext xmlns:c16="http://schemas.microsoft.com/office/drawing/2014/chart" uri="{C3380CC4-5D6E-409C-BE32-E72D297353CC}">
                <c16:uniqueId val="{00000004-1369-4ADC-A51C-44C76BEB3446}"/>
              </c:ext>
            </c:extLst>
          </c:dPt>
          <c:dPt>
            <c:idx val="13"/>
            <c:invertIfNegative val="0"/>
            <c:bubble3D val="0"/>
            <c:extLst>
              <c:ext xmlns:c16="http://schemas.microsoft.com/office/drawing/2014/chart" uri="{C3380CC4-5D6E-409C-BE32-E72D297353CC}">
                <c16:uniqueId val="{00000005-1369-4ADC-A51C-44C76BEB3446}"/>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50000"/>
                        <a:lumOff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KPI!$I$3:$I$11</c:f>
              <c:strCache>
                <c:ptCount val="9"/>
                <c:pt idx="0">
                  <c:v>EBITDA</c:v>
                </c:pt>
                <c:pt idx="1">
                  <c:v>zwrot z akcji</c:v>
                </c:pt>
                <c:pt idx="2">
                  <c:v>zysk netto</c:v>
                </c:pt>
                <c:pt idx="3">
                  <c:v>EPS</c:v>
                </c:pt>
                <c:pt idx="4">
                  <c:v>przychody</c:v>
                </c:pt>
                <c:pt idx="5">
                  <c:v>zysk brutto</c:v>
                </c:pt>
                <c:pt idx="6">
                  <c:v>zysk operacyjny</c:v>
                </c:pt>
                <c:pt idx="7">
                  <c:v>zatrudnienie</c:v>
                </c:pt>
                <c:pt idx="8">
                  <c:v>inne</c:v>
                </c:pt>
              </c:strCache>
            </c:strRef>
          </c:cat>
          <c:val>
            <c:numRef>
              <c:f>KPI!$J$3:$J$11</c:f>
              <c:numCache>
                <c:formatCode>General</c:formatCode>
                <c:ptCount val="9"/>
                <c:pt idx="0">
                  <c:v>17</c:v>
                </c:pt>
                <c:pt idx="1">
                  <c:v>10</c:v>
                </c:pt>
                <c:pt idx="2">
                  <c:v>8</c:v>
                </c:pt>
                <c:pt idx="3">
                  <c:v>4</c:v>
                </c:pt>
                <c:pt idx="4">
                  <c:v>3</c:v>
                </c:pt>
                <c:pt idx="5">
                  <c:v>3</c:v>
                </c:pt>
                <c:pt idx="6">
                  <c:v>2</c:v>
                </c:pt>
                <c:pt idx="7">
                  <c:v>8</c:v>
                </c:pt>
                <c:pt idx="8">
                  <c:v>5</c:v>
                </c:pt>
              </c:numCache>
            </c:numRef>
          </c:val>
          <c:extLst>
            <c:ext xmlns:c16="http://schemas.microsoft.com/office/drawing/2014/chart" uri="{C3380CC4-5D6E-409C-BE32-E72D297353CC}">
              <c16:uniqueId val="{00000006-1369-4ADC-A51C-44C76BEB3446}"/>
            </c:ext>
          </c:extLst>
        </c:ser>
        <c:dLbls>
          <c:showLegendKey val="0"/>
          <c:showVal val="0"/>
          <c:showCatName val="0"/>
          <c:showSerName val="0"/>
          <c:showPercent val="0"/>
          <c:showBubbleSize val="0"/>
        </c:dLbls>
        <c:gapWidth val="210"/>
        <c:overlap val="-37"/>
        <c:axId val="81521280"/>
        <c:axId val="81547648"/>
      </c:barChart>
      <c:catAx>
        <c:axId val="81521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mn-lt"/>
                <a:ea typeface="+mn-ea"/>
                <a:cs typeface="+mn-cs"/>
              </a:defRPr>
            </a:pPr>
            <a:endParaRPr lang="pl-PL"/>
          </a:p>
        </c:txPr>
        <c:crossAx val="81547648"/>
        <c:crosses val="autoZero"/>
        <c:auto val="1"/>
        <c:lblAlgn val="ctr"/>
        <c:lblOffset val="100"/>
        <c:noMultiLvlLbl val="0"/>
      </c:catAx>
      <c:valAx>
        <c:axId val="8154764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mn-lt"/>
                <a:ea typeface="+mn-ea"/>
                <a:cs typeface="+mn-cs"/>
              </a:defRPr>
            </a:pPr>
            <a:endParaRPr lang="pl-PL"/>
          </a:p>
        </c:txPr>
        <c:crossAx val="81521280"/>
        <c:crosses val="autoZero"/>
        <c:crossBetween val="between"/>
      </c:valAx>
      <c:spPr>
        <a:pattFill prst="pct5">
          <a:fgClr>
            <a:sysClr val="window" lastClr="FFFFFF">
              <a:lumMod val="95000"/>
            </a:sysClr>
          </a:fgClr>
          <a:bgClr>
            <a:sysClr val="window" lastClr="FFFFFF"/>
          </a:bgClr>
        </a:pattFill>
        <a:ln>
          <a:noFill/>
        </a:ln>
        <a:effectLst/>
      </c:spPr>
    </c:plotArea>
    <c:plotVisOnly val="1"/>
    <c:dispBlanksAs val="gap"/>
    <c:showDLblsOverMax val="0"/>
    <c:extLst/>
  </c:chart>
  <c:spPr>
    <a:solidFill>
      <a:schemeClr val="bg1"/>
    </a:solidFill>
    <a:ln w="9525" cap="flat" cmpd="sng" algn="ctr">
      <a:noFill/>
      <a:round/>
    </a:ln>
    <a:effectLst/>
  </c:spPr>
  <c:txPr>
    <a:bodyPr/>
    <a:lstStyle/>
    <a:p>
      <a:pPr>
        <a:defRPr/>
      </a:pPr>
      <a:endParaRPr lang="pl-PL"/>
    </a:p>
  </c:txPr>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B2F3B-F95C-4F86-8F6E-E4947D5F7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904</Words>
  <Characters>5427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6319</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Konrad Akowacz</cp:lastModifiedBy>
  <cp:revision>7</cp:revision>
  <cp:lastPrinted>2016-03-18T13:44:00Z</cp:lastPrinted>
  <dcterms:created xsi:type="dcterms:W3CDTF">2016-09-06T13:36:00Z</dcterms:created>
  <dcterms:modified xsi:type="dcterms:W3CDTF">2020-01-13T08:48:00Z</dcterms:modified>
</cp:coreProperties>
</file>